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7EAD" w14:textId="77777777" w:rsidR="00BB44E0" w:rsidRPr="00C548D3" w:rsidRDefault="00BB44E0" w:rsidP="00BB44E0">
      <w:pPr>
        <w:jc w:val="center"/>
        <w:rPr>
          <w:rFonts w:cs="Times New Roman"/>
          <w:b/>
          <w:bCs/>
        </w:rPr>
      </w:pPr>
      <w:r w:rsidRPr="00C548D3">
        <w:rPr>
          <w:rFonts w:cs="Times New Roman"/>
          <w:b/>
          <w:bCs/>
        </w:rPr>
        <w:t>ASCC Arts and Humanities Subcommittee 2</w:t>
      </w:r>
    </w:p>
    <w:p w14:paraId="5AD27A2E" w14:textId="1F53012A" w:rsidR="00BB44E0" w:rsidRPr="00C548D3" w:rsidRDefault="00A825B4" w:rsidP="00BB44E0">
      <w:pPr>
        <w:jc w:val="center"/>
        <w:rPr>
          <w:rFonts w:cs="Times New Roman"/>
        </w:rPr>
      </w:pPr>
      <w:r>
        <w:rPr>
          <w:rFonts w:cs="Times New Roman"/>
        </w:rPr>
        <w:t>Unapproved</w:t>
      </w:r>
      <w:r w:rsidR="00021B53" w:rsidRPr="00C548D3">
        <w:rPr>
          <w:rFonts w:cs="Times New Roman"/>
        </w:rPr>
        <w:t xml:space="preserve"> Minutes</w:t>
      </w:r>
    </w:p>
    <w:p w14:paraId="57A60D8D" w14:textId="44772E7D" w:rsidR="00BB44E0" w:rsidRPr="00C548D3" w:rsidRDefault="00BB44E0" w:rsidP="00BB44E0">
      <w:pPr>
        <w:rPr>
          <w:rFonts w:cs="Times New Roman"/>
        </w:rPr>
      </w:pPr>
      <w:r w:rsidRPr="00C548D3">
        <w:rPr>
          <w:rFonts w:cs="Times New Roman"/>
        </w:rPr>
        <w:t xml:space="preserve">Friday, </w:t>
      </w:r>
      <w:r w:rsidR="00736EF1" w:rsidRPr="00C548D3">
        <w:rPr>
          <w:rFonts w:cs="Times New Roman"/>
        </w:rPr>
        <w:t xml:space="preserve">April </w:t>
      </w:r>
      <w:r w:rsidR="00A721C9" w:rsidRPr="00C548D3">
        <w:rPr>
          <w:rFonts w:cs="Times New Roman"/>
        </w:rPr>
        <w:t>25th</w:t>
      </w:r>
      <w:r w:rsidR="00F93B21" w:rsidRPr="00C548D3">
        <w:rPr>
          <w:rFonts w:cs="Times New Roman"/>
        </w:rPr>
        <w:t>, 2025</w:t>
      </w:r>
      <w:r w:rsidRPr="00C548D3">
        <w:rPr>
          <w:rFonts w:cs="Times New Roman"/>
        </w:rPr>
        <w:tab/>
        <w:t xml:space="preserve">        </w:t>
      </w:r>
      <w:r w:rsidRPr="00C548D3">
        <w:rPr>
          <w:rFonts w:cs="Times New Roman"/>
        </w:rPr>
        <w:tab/>
      </w:r>
      <w:r w:rsidRPr="00C548D3">
        <w:rPr>
          <w:rFonts w:cs="Times New Roman"/>
        </w:rPr>
        <w:tab/>
      </w:r>
      <w:r w:rsidRPr="00C548D3">
        <w:rPr>
          <w:rFonts w:cs="Times New Roman"/>
        </w:rPr>
        <w:tab/>
      </w:r>
      <w:r w:rsidRPr="00C548D3">
        <w:rPr>
          <w:rFonts w:cs="Times New Roman"/>
        </w:rPr>
        <w:tab/>
      </w:r>
      <w:r w:rsidRPr="00C548D3">
        <w:rPr>
          <w:rFonts w:cs="Times New Roman"/>
        </w:rPr>
        <w:tab/>
      </w:r>
      <w:r w:rsidRPr="00C548D3">
        <w:rPr>
          <w:rFonts w:cs="Times New Roman"/>
        </w:rPr>
        <w:tab/>
      </w:r>
      <w:r w:rsidRPr="00C548D3">
        <w:rPr>
          <w:rFonts w:cs="Times New Roman"/>
        </w:rPr>
        <w:tab/>
      </w:r>
      <w:r w:rsidRPr="00C548D3">
        <w:rPr>
          <w:rFonts w:cs="Times New Roman"/>
        </w:rPr>
        <w:tab/>
        <w:t>Zoom</w:t>
      </w:r>
    </w:p>
    <w:p w14:paraId="1862C812" w14:textId="7D00F2C2" w:rsidR="00BB44E0" w:rsidRPr="00C548D3" w:rsidRDefault="00BB44E0" w:rsidP="00BB44E0">
      <w:pPr>
        <w:rPr>
          <w:rFonts w:cs="Times New Roman"/>
        </w:rPr>
      </w:pPr>
      <w:r w:rsidRPr="00C548D3">
        <w:rPr>
          <w:rFonts w:cs="Times New Roman"/>
          <w:b/>
          <w:bCs/>
        </w:rPr>
        <w:t>Attendees</w:t>
      </w:r>
      <w:r w:rsidRPr="00C548D3">
        <w:rPr>
          <w:rFonts w:cs="Times New Roman"/>
        </w:rPr>
        <w:t>:  Bitters, Crocetta,</w:t>
      </w:r>
      <w:r w:rsidR="00A721C9" w:rsidRPr="00C548D3">
        <w:rPr>
          <w:rFonts w:cs="Times New Roman"/>
        </w:rPr>
        <w:t xml:space="preserve"> Diles,</w:t>
      </w:r>
      <w:r w:rsidRPr="00C548D3">
        <w:rPr>
          <w:rFonts w:cs="Times New Roman"/>
        </w:rPr>
        <w:t xml:space="preserve"> </w:t>
      </w:r>
      <w:r w:rsidR="00C52D8C" w:rsidRPr="00C548D3">
        <w:rPr>
          <w:rFonts w:cs="Times New Roman"/>
        </w:rPr>
        <w:t>K</w:t>
      </w:r>
      <w:r w:rsidR="00A721C9" w:rsidRPr="00C548D3">
        <w:rPr>
          <w:rFonts w:cs="Times New Roman"/>
        </w:rPr>
        <w:t>ö</w:t>
      </w:r>
      <w:r w:rsidR="00C52D8C" w:rsidRPr="00C548D3">
        <w:rPr>
          <w:rFonts w:cs="Times New Roman"/>
        </w:rPr>
        <w:t xml:space="preserve">hnlein, </w:t>
      </w:r>
      <w:r w:rsidRPr="00C548D3">
        <w:rPr>
          <w:rFonts w:cs="Times New Roman"/>
        </w:rPr>
        <w:t xml:space="preserve">Diles Mick, </w:t>
      </w:r>
      <w:r w:rsidR="00021B53" w:rsidRPr="00C548D3">
        <w:rPr>
          <w:rFonts w:cs="Times New Roman"/>
        </w:rPr>
        <w:t xml:space="preserve">Podalsky, </w:t>
      </w:r>
      <w:r w:rsidRPr="00C548D3">
        <w:rPr>
          <w:rFonts w:cs="Times New Roman"/>
        </w:rPr>
        <w:t>Steele, Vankeerbergen</w:t>
      </w:r>
    </w:p>
    <w:p w14:paraId="20A218F5" w14:textId="77777777" w:rsidR="00BB44E0" w:rsidRPr="00C548D3" w:rsidRDefault="00BB44E0" w:rsidP="00BB44E0">
      <w:pPr>
        <w:rPr>
          <w:rFonts w:cs="Times New Roman"/>
          <w:b/>
          <w:bCs/>
        </w:rPr>
      </w:pPr>
      <w:r w:rsidRPr="00C548D3">
        <w:rPr>
          <w:rFonts w:cs="Times New Roman"/>
          <w:b/>
          <w:bCs/>
        </w:rPr>
        <w:t>Agenda</w:t>
      </w:r>
    </w:p>
    <w:p w14:paraId="0ED98143" w14:textId="77777777" w:rsidR="004B39A4" w:rsidRPr="00C548D3" w:rsidRDefault="004B39A4"/>
    <w:p w14:paraId="0513E93F" w14:textId="77777777" w:rsidR="00A721C9" w:rsidRPr="00C548D3" w:rsidRDefault="00A721C9" w:rsidP="00A721C9">
      <w:pPr>
        <w:numPr>
          <w:ilvl w:val="0"/>
          <w:numId w:val="5"/>
        </w:numPr>
      </w:pPr>
      <w:r w:rsidRPr="00C548D3">
        <w:t>Approval of 4-11-25 minutes</w:t>
      </w:r>
    </w:p>
    <w:p w14:paraId="276FB593" w14:textId="286DFBC8" w:rsidR="00CA2C08" w:rsidRPr="00C548D3" w:rsidRDefault="00CA2C08" w:rsidP="00CA2C08">
      <w:pPr>
        <w:numPr>
          <w:ilvl w:val="1"/>
          <w:numId w:val="5"/>
        </w:numPr>
      </w:pPr>
      <w:r w:rsidRPr="00C548D3">
        <w:t>Crocetta, Diles; approved with one abstention</w:t>
      </w:r>
      <w:r w:rsidR="00021B53" w:rsidRPr="00C548D3">
        <w:t>.</w:t>
      </w:r>
    </w:p>
    <w:p w14:paraId="67E7CF0E" w14:textId="433632C2" w:rsidR="00A721C9" w:rsidRPr="00C548D3" w:rsidRDefault="00A721C9" w:rsidP="00A721C9">
      <w:pPr>
        <w:numPr>
          <w:ilvl w:val="0"/>
          <w:numId w:val="5"/>
        </w:numPr>
      </w:pPr>
      <w:r w:rsidRPr="00C548D3">
        <w:t>BA Liberal Arts</w:t>
      </w:r>
    </w:p>
    <w:p w14:paraId="7FDAFAB0" w14:textId="157728C9" w:rsidR="00021B53" w:rsidRPr="00C548D3" w:rsidRDefault="00021B53" w:rsidP="00CA2C08">
      <w:pPr>
        <w:numPr>
          <w:ilvl w:val="1"/>
          <w:numId w:val="5"/>
        </w:numPr>
      </w:pPr>
      <w:r w:rsidRPr="00C548D3">
        <w:t xml:space="preserve">The Subcommittee suggests that Program Goal 3 (proposal p. 10) </w:t>
      </w:r>
      <w:r w:rsidR="005D52CD" w:rsidRPr="00C548D3">
        <w:t>and its attendant ELOs include</w:t>
      </w:r>
      <w:r w:rsidR="008302A0" w:rsidRPr="00C548D3">
        <w:t xml:space="preserve"> a mention of</w:t>
      </w:r>
      <w:r w:rsidR="005D52CD" w:rsidRPr="00C548D3">
        <w:t xml:space="preserve"> collaborative learning.  While they acknowledge that the program proposers will need to be creative to make this work in online, asynchronous courses, they note that </w:t>
      </w:r>
      <w:r w:rsidR="002D5C95">
        <w:t>collaborative learning</w:t>
      </w:r>
      <w:r w:rsidR="002D5C95" w:rsidRPr="00C548D3">
        <w:t xml:space="preserve"> </w:t>
      </w:r>
      <w:r w:rsidR="005D52CD" w:rsidRPr="00C548D3">
        <w:t xml:space="preserve">is an integral component of inclusive problem solving.  Additionally, the ability to work collaboratively </w:t>
      </w:r>
      <w:r w:rsidR="00825528" w:rsidRPr="00C548D3">
        <w:t>is often</w:t>
      </w:r>
      <w:r w:rsidR="005D52CD" w:rsidRPr="00C548D3">
        <w:t xml:space="preserve"> a desire of employers and thus essential to the workforce development component of the program.</w:t>
      </w:r>
    </w:p>
    <w:p w14:paraId="201D2B2C" w14:textId="7EB2B15B" w:rsidR="00CA2C08" w:rsidRPr="00C548D3" w:rsidRDefault="005D52CD" w:rsidP="008302A0">
      <w:pPr>
        <w:numPr>
          <w:ilvl w:val="1"/>
          <w:numId w:val="5"/>
        </w:numPr>
      </w:pPr>
      <w:r w:rsidRPr="00C548D3">
        <w:t xml:space="preserve">The Subcommittee suggests that Program Goal 4 (proposal pp. 10-11) include </w:t>
      </w:r>
      <w:r w:rsidR="008302A0" w:rsidRPr="00C548D3">
        <w:t>one or more ELOs which focus on a student’s ability to receive communication (i.e. listening, cultural competencies, comprehension of the written word) as well articulating one’s own ideas in a variety of styles and formats.</w:t>
      </w:r>
    </w:p>
    <w:p w14:paraId="5BD0C49A" w14:textId="176454BB" w:rsidR="008302A0" w:rsidRPr="00C548D3" w:rsidRDefault="008302A0" w:rsidP="008302A0">
      <w:pPr>
        <w:numPr>
          <w:ilvl w:val="1"/>
          <w:numId w:val="5"/>
        </w:numPr>
      </w:pPr>
      <w:r w:rsidRPr="00C548D3">
        <w:t xml:space="preserve">The Subcommittee observes that the introductory and capstone courses will have a very heavy lift in terms of meeting the program goals and ELOs, since they are the only courses that will be taken by all students in the program.  They suggest </w:t>
      </w:r>
      <w:r w:rsidR="00A95773" w:rsidRPr="00C548D3">
        <w:t xml:space="preserve">a </w:t>
      </w:r>
      <w:r w:rsidRPr="00C548D3">
        <w:t>third, “</w:t>
      </w:r>
      <w:r w:rsidR="00A95773" w:rsidRPr="00C548D3">
        <w:t>intermediate</w:t>
      </w:r>
      <w:r w:rsidRPr="00C548D3">
        <w:t>” course</w:t>
      </w:r>
      <w:r w:rsidR="00A95773" w:rsidRPr="00C548D3">
        <w:t xml:space="preserve"> to be taken in between the introductory and capstone courses</w:t>
      </w:r>
      <w:r w:rsidRPr="00C548D3">
        <w:t xml:space="preserve"> </w:t>
      </w:r>
      <w:r w:rsidR="00A95773" w:rsidRPr="00C548D3">
        <w:t xml:space="preserve">that would help to scaffold students’ learning.  </w:t>
      </w:r>
      <w:r w:rsidR="00C21149">
        <w:t>O</w:t>
      </w:r>
      <w:r w:rsidR="00A95773" w:rsidRPr="00C548D3">
        <w:t xml:space="preserve">ne way to do this would be to reduce the introductory and capstone courses to 3 CH each and use those extra </w:t>
      </w:r>
      <w:r w:rsidR="00465F11">
        <w:t>3</w:t>
      </w:r>
      <w:r w:rsidR="0047007C">
        <w:t xml:space="preserve"> </w:t>
      </w:r>
      <w:r w:rsidR="00A95773" w:rsidRPr="00C548D3">
        <w:t xml:space="preserve">CH toward the intermediate course. </w:t>
      </w:r>
      <w:r w:rsidR="002A3B11">
        <w:t xml:space="preserve">Another way to achieve the same result </w:t>
      </w:r>
      <w:r w:rsidR="00D2189F">
        <w:t>(without a 3</w:t>
      </w:r>
      <w:r w:rsidR="00D2189F" w:rsidRPr="009117B0">
        <w:rPr>
          <w:vertAlign w:val="superscript"/>
        </w:rPr>
        <w:t>rd</w:t>
      </w:r>
      <w:r w:rsidR="00D2189F">
        <w:t xml:space="preserve"> course) would be to have cohorts and touch</w:t>
      </w:r>
      <w:r w:rsidR="00460D1C">
        <w:t>-</w:t>
      </w:r>
      <w:r w:rsidR="00D2189F">
        <w:t>base moments throughout the coursework</w:t>
      </w:r>
      <w:r w:rsidR="0047007C">
        <w:t xml:space="preserve">. That way, students are not “on their own” in that </w:t>
      </w:r>
      <w:r w:rsidR="00AB20E7">
        <w:t>middle coursework.</w:t>
      </w:r>
    </w:p>
    <w:p w14:paraId="196F0A0F" w14:textId="27727E78" w:rsidR="00A95773" w:rsidRPr="00C548D3" w:rsidRDefault="00A95773" w:rsidP="00CA2C08">
      <w:pPr>
        <w:numPr>
          <w:ilvl w:val="1"/>
          <w:numId w:val="5"/>
        </w:numPr>
      </w:pPr>
      <w:r w:rsidRPr="00C548D3">
        <w:t xml:space="preserve">The Subcommittee suggests that the </w:t>
      </w:r>
      <w:r w:rsidR="00C21149">
        <w:t>author</w:t>
      </w:r>
      <w:r w:rsidRPr="00C548D3">
        <w:t xml:space="preserve">s </w:t>
      </w:r>
      <w:r w:rsidR="00825528" w:rsidRPr="00C548D3">
        <w:t>revise the paragraph on p. 2 of the proposal that begins “As the flagship land grant institution…”, as they felt the ideas about the land grant mission were not well-connected to the program’s purpose and goals.</w:t>
      </w:r>
    </w:p>
    <w:p w14:paraId="6DB87E73" w14:textId="17394620" w:rsidR="00FD1324" w:rsidRDefault="00825528" w:rsidP="00825528">
      <w:pPr>
        <w:numPr>
          <w:ilvl w:val="1"/>
          <w:numId w:val="5"/>
        </w:numPr>
      </w:pPr>
      <w:r w:rsidRPr="00C548D3">
        <w:t xml:space="preserve">The Subcommittee suggests that the </w:t>
      </w:r>
      <w:r w:rsidR="00C21149">
        <w:t>author</w:t>
      </w:r>
      <w:r w:rsidRPr="00C548D3">
        <w:t xml:space="preserve">s emphasize in the proposal the highly skilled and experienced advising staff who will work with students, providing one-on-one guidance that will allow the program to be individually tailored to each </w:t>
      </w:r>
      <w:r w:rsidRPr="00C548D3">
        <w:lastRenderedPageBreak/>
        <w:t>student’s unique needs, experiences, and prior coursework.  They suggest wording such as “customized pathway” and “team of specialists” to reinforce the student support mechanisms in the program.</w:t>
      </w:r>
      <w:r w:rsidR="008D69AE">
        <w:t xml:space="preserve"> </w:t>
      </w:r>
    </w:p>
    <w:p w14:paraId="5B599CA8" w14:textId="3B119824" w:rsidR="004F4386" w:rsidRPr="00C548D3" w:rsidRDefault="004F4386" w:rsidP="00825528">
      <w:pPr>
        <w:numPr>
          <w:ilvl w:val="1"/>
          <w:numId w:val="5"/>
        </w:numPr>
      </w:pPr>
      <w:r>
        <w:t>The Subcommittee discussed</w:t>
      </w:r>
      <w:r w:rsidR="00F67598">
        <w:t xml:space="preserve"> </w:t>
      </w:r>
      <w:r w:rsidR="0096451A">
        <w:t>that naming</w:t>
      </w:r>
      <w:r w:rsidR="00F67598">
        <w:t xml:space="preserve"> the new major</w:t>
      </w:r>
      <w:r w:rsidR="006F213B">
        <w:t xml:space="preserve"> “Liberal Arts” might not </w:t>
      </w:r>
      <w:r w:rsidR="00920B9C">
        <w:t xml:space="preserve">always </w:t>
      </w:r>
      <w:r w:rsidR="006F213B">
        <w:t xml:space="preserve">reflect the content accurately and also not </w:t>
      </w:r>
      <w:r w:rsidR="000B2461">
        <w:t xml:space="preserve">advance students’ workforce development goals. </w:t>
      </w:r>
      <w:r w:rsidR="009C53D7">
        <w:t xml:space="preserve">Perhaps a name closer to “Advancement Studies” </w:t>
      </w:r>
      <w:r w:rsidR="00AD3DBB">
        <w:t xml:space="preserve"> or “Workforce Development Studies” </w:t>
      </w:r>
      <w:r w:rsidR="009C53D7">
        <w:t xml:space="preserve">would work better? </w:t>
      </w:r>
    </w:p>
    <w:p w14:paraId="5B7D04BF" w14:textId="49668AC9" w:rsidR="00A721C9" w:rsidRPr="00C548D3" w:rsidRDefault="00A721C9" w:rsidP="00A1712A">
      <w:pPr>
        <w:numPr>
          <w:ilvl w:val="0"/>
          <w:numId w:val="5"/>
        </w:numPr>
      </w:pPr>
      <w:r w:rsidRPr="00C548D3">
        <w:t>History 3678 (new course requesting Distance Enhanced delivery) (return)</w:t>
      </w:r>
    </w:p>
    <w:p w14:paraId="57BF2EE4" w14:textId="06227951" w:rsidR="00C548D3" w:rsidRPr="00C548D3" w:rsidRDefault="00C548D3" w:rsidP="00A721C9">
      <w:pPr>
        <w:numPr>
          <w:ilvl w:val="1"/>
          <w:numId w:val="5"/>
        </w:numPr>
      </w:pPr>
      <w:r w:rsidRPr="00C548D3">
        <w:rPr>
          <w:i/>
          <w:iCs/>
        </w:rPr>
        <w:t>Recommendation:</w:t>
      </w:r>
      <w:r w:rsidRPr="00C548D3">
        <w:t xml:space="preserve"> The Subcommittee recommends that the department remove the specific references to the COVID-19 pandemic on p. 2 of the syllabus; they note that the policies could easily be modified to include all communicable illness</w:t>
      </w:r>
      <w:r w:rsidR="00C21149">
        <w:t>es</w:t>
      </w:r>
      <w:r w:rsidRPr="00C548D3">
        <w:t>.</w:t>
      </w:r>
    </w:p>
    <w:p w14:paraId="3E1D9E21" w14:textId="1F028403" w:rsidR="00A721C9" w:rsidRPr="00C548D3" w:rsidRDefault="00C548D3" w:rsidP="00A721C9">
      <w:pPr>
        <w:numPr>
          <w:ilvl w:val="1"/>
          <w:numId w:val="5"/>
        </w:numPr>
        <w:rPr>
          <w:i/>
          <w:iCs/>
        </w:rPr>
      </w:pPr>
      <w:r w:rsidRPr="00C548D3">
        <w:rPr>
          <w:i/>
          <w:iCs/>
        </w:rPr>
        <w:t xml:space="preserve">Recommendation: </w:t>
      </w:r>
      <w:r w:rsidRPr="00C548D3">
        <w:t>The Subcommittee recommends that the department alter the format of the Course Schedule (syllabus pp. 16-21) to more clearly differentiate for students what assignments/readings/activities are associated with each class meeting.</w:t>
      </w:r>
      <w:r w:rsidR="00C21149">
        <w:t xml:space="preserve">  </w:t>
      </w:r>
      <w:r w:rsidR="00EF15E9">
        <w:t>Based on</w:t>
      </w:r>
      <w:r w:rsidR="00C21149">
        <w:t xml:space="preserve"> </w:t>
      </w:r>
      <w:r w:rsidR="00182C7E">
        <w:t>the s</w:t>
      </w:r>
      <w:r w:rsidR="000D08C1">
        <w:t>chedule’s</w:t>
      </w:r>
      <w:r w:rsidR="00C21149">
        <w:t xml:space="preserve"> current form, the Subcommittee found it difficult to tell what students should prepare for the Tuesday class meeting vs. the Thursday class meeting.</w:t>
      </w:r>
    </w:p>
    <w:p w14:paraId="456EC996" w14:textId="7927F053" w:rsidR="001F3DB7" w:rsidRPr="00C548D3" w:rsidRDefault="001F3DB7" w:rsidP="00A721C9">
      <w:pPr>
        <w:numPr>
          <w:ilvl w:val="1"/>
          <w:numId w:val="5"/>
        </w:numPr>
      </w:pPr>
      <w:r w:rsidRPr="00C548D3">
        <w:t xml:space="preserve">Crocetta, </w:t>
      </w:r>
      <w:r w:rsidR="00C548D3" w:rsidRPr="00C548D3">
        <w:rPr>
          <w:rFonts w:cs="Times New Roman"/>
        </w:rPr>
        <w:t>Köhnlein</w:t>
      </w:r>
      <w:r w:rsidRPr="00C548D3">
        <w:t xml:space="preserve">; approved with </w:t>
      </w:r>
      <w:r w:rsidR="00C548D3">
        <w:rPr>
          <w:i/>
          <w:iCs/>
        </w:rPr>
        <w:t xml:space="preserve">two recommendations </w:t>
      </w:r>
      <w:r w:rsidR="00C548D3">
        <w:t>(in italics above).</w:t>
      </w:r>
    </w:p>
    <w:p w14:paraId="54C5BF95" w14:textId="77777777" w:rsidR="00A721C9" w:rsidRPr="00C548D3" w:rsidRDefault="00A721C9" w:rsidP="00A721C9">
      <w:pPr>
        <w:numPr>
          <w:ilvl w:val="0"/>
          <w:numId w:val="5"/>
        </w:numPr>
      </w:pPr>
      <w:r w:rsidRPr="00C548D3">
        <w:t>EDUTL 3300 (new course requesting GEN Foundation LVPA) (return)</w:t>
      </w:r>
    </w:p>
    <w:p w14:paraId="000AACEE" w14:textId="62E0E84F" w:rsidR="00AF2447" w:rsidRDefault="00C548D3" w:rsidP="00AF2447">
      <w:pPr>
        <w:numPr>
          <w:ilvl w:val="1"/>
          <w:numId w:val="5"/>
        </w:numPr>
      </w:pPr>
      <w:r>
        <w:rPr>
          <w:b/>
          <w:bCs/>
        </w:rPr>
        <w:t xml:space="preserve">Contingency:  </w:t>
      </w:r>
      <w:r>
        <w:t xml:space="preserve">While the </w:t>
      </w:r>
      <w:r w:rsidR="00BD18F7">
        <w:t>S</w:t>
      </w:r>
      <w:r>
        <w:t xml:space="preserve">ubcommittee notes and appreciates the changes made to the </w:t>
      </w:r>
      <w:r w:rsidR="00C7323E">
        <w:t>syllabus (including the highlighted portions</w:t>
      </w:r>
      <w:r w:rsidR="00BD18F7">
        <w:t xml:space="preserve"> on pp. 13-22 of the Distance Learning Syllabus</w:t>
      </w:r>
      <w:r w:rsidR="00C7323E">
        <w:t xml:space="preserve">) that pertain to ways that the Virtual Discussion post prompts meet the GEN category’s goals and ELOs, they ask that the department provide additional information about this on the GEN Submission Form, so that the form accurately reflects </w:t>
      </w:r>
      <w:r w:rsidR="00494F16">
        <w:t>the different mechanisms for meeting the ELOs</w:t>
      </w:r>
      <w:r w:rsidR="00C7323E">
        <w:t xml:space="preserve"> in the online and DL </w:t>
      </w:r>
      <w:r w:rsidR="00494F16">
        <w:t>versions of the course.</w:t>
      </w:r>
      <w:r w:rsidR="00C7323E">
        <w:t xml:space="preserve"> </w:t>
      </w:r>
    </w:p>
    <w:p w14:paraId="166AB289" w14:textId="42E38AF4" w:rsidR="00AF2447" w:rsidRDefault="00BD18F7" w:rsidP="00BD18F7">
      <w:pPr>
        <w:numPr>
          <w:ilvl w:val="1"/>
          <w:numId w:val="5"/>
        </w:numPr>
      </w:pPr>
      <w:r>
        <w:rPr>
          <w:b/>
          <w:bCs/>
        </w:rPr>
        <w:t>Contingency:</w:t>
      </w:r>
      <w:r>
        <w:t xml:space="preserve"> The Subcommittee requests that the department </w:t>
      </w:r>
      <w:r w:rsidR="00494F16" w:rsidRPr="00494F16">
        <w:t xml:space="preserve">include in the syllabus (in-person and DL syllabi p. 2-3.) a </w:t>
      </w:r>
      <w:r w:rsidR="00494F16">
        <w:t>statement</w:t>
      </w:r>
      <w:r w:rsidR="00494F16" w:rsidRPr="00494F16">
        <w:t xml:space="preserve"> following the listing of the GEN goals and ELOS that explains how this course, in particular, meets the goals and ELOs of the LVPA category, per a requirement of all GEN courses. </w:t>
      </w:r>
      <w:r w:rsidR="00494F16">
        <w:t xml:space="preserve"> While a single paragraph is recommended </w:t>
      </w:r>
      <w:r w:rsidR="008D6798">
        <w:t xml:space="preserve">for the sake of brevity </w:t>
      </w:r>
      <w:r w:rsidR="00494F16">
        <w:t xml:space="preserve">(as opposed to a chart or a separate paragraph for </w:t>
      </w:r>
      <w:r w:rsidR="00494F16">
        <w:rPr>
          <w:i/>
          <w:iCs/>
        </w:rPr>
        <w:t>each</w:t>
      </w:r>
      <w:r w:rsidR="00494F16">
        <w:t xml:space="preserve"> ELO), </w:t>
      </w:r>
      <w:r w:rsidR="008D6798">
        <w:t>exact formatting is up to the instructor.</w:t>
      </w:r>
      <w:r w:rsidR="00494F16">
        <w:t xml:space="preserve">  However, </w:t>
      </w:r>
      <w:r w:rsidR="008D6798">
        <w:t xml:space="preserve">the Subcommittee notes that course-specific goals and ELOs are not adequate for this requirement, as the statement should focus on </w:t>
      </w:r>
      <w:r w:rsidR="008D6798">
        <w:rPr>
          <w:i/>
          <w:iCs/>
        </w:rPr>
        <w:t>how</w:t>
      </w:r>
      <w:r w:rsidR="008D6798">
        <w:t xml:space="preserve"> students will meet the GE goals (i.e. what course activities, assessments, readings </w:t>
      </w:r>
      <w:r w:rsidR="00C83C60">
        <w:t xml:space="preserve">etc. </w:t>
      </w:r>
      <w:r w:rsidR="008D6798">
        <w:t>will address the GE learning outcomes) rather than what students will know and/or be able to do at the conclusion of the course.</w:t>
      </w:r>
    </w:p>
    <w:p w14:paraId="5B104F94" w14:textId="0A6E8706" w:rsidR="00E33B0B" w:rsidRPr="00C548D3" w:rsidRDefault="00E33B0B" w:rsidP="00E33B0B">
      <w:pPr>
        <w:numPr>
          <w:ilvl w:val="1"/>
          <w:numId w:val="5"/>
        </w:numPr>
      </w:pPr>
      <w:r>
        <w:rPr>
          <w:b/>
          <w:bCs/>
        </w:rPr>
        <w:t>Contingency:</w:t>
      </w:r>
      <w:r>
        <w:t xml:space="preserve">  The Subcommittee asks that the department alter the information in curriculum.osu.edu (under “Prerequisites and Exclusions; </w:t>
      </w:r>
      <w:r>
        <w:lastRenderedPageBreak/>
        <w:t>prerequisites/corequisites) to match the updated language about prerequisites on the syllabi (p. 2), which now reads “</w:t>
      </w:r>
      <w:r w:rsidRPr="00BD18F7">
        <w:t>English 1110 or completion of a GEN Foundation: WIL course</w:t>
      </w:r>
      <w:r>
        <w:t>”.</w:t>
      </w:r>
    </w:p>
    <w:p w14:paraId="3AF9634C" w14:textId="6D18E66A" w:rsidR="008D6798" w:rsidRDefault="008D6798" w:rsidP="00AF2447">
      <w:pPr>
        <w:numPr>
          <w:ilvl w:val="1"/>
          <w:numId w:val="5"/>
        </w:numPr>
      </w:pPr>
      <w:r>
        <w:rPr>
          <w:i/>
          <w:iCs/>
        </w:rPr>
        <w:t xml:space="preserve">Recommendation: </w:t>
      </w:r>
      <w:r>
        <w:t xml:space="preserve">The Subcommittee recommends clarifying the grading scale for students, as they are </w:t>
      </w:r>
      <w:r w:rsidR="003532E7">
        <w:t>unsure how these number</w:t>
      </w:r>
      <w:r w:rsidR="00C83C60">
        <w:t>s will translate into students’ final grade for the course.  For example,</w:t>
      </w:r>
      <w:r w:rsidR="002977D6">
        <w:t xml:space="preserve"> given the percentage of the final grade assigned to each assessment,</w:t>
      </w:r>
      <w:r w:rsidR="00C83C60">
        <w:t xml:space="preserve"> if a student earns an average grade of 3.3 on their Weekly Discussion questions, a 3.0 on their Live-Action Assignment, and a 4.0 on the</w:t>
      </w:r>
      <w:r w:rsidR="002977D6">
        <w:t>ir final paper, that would result in a final numerical mark of 3.45.  The scale is unclear as to whether this student’s final grade for the course would be a B+ or an A-.</w:t>
      </w:r>
    </w:p>
    <w:p w14:paraId="382DD201" w14:textId="5B31A40C" w:rsidR="00AF2447" w:rsidRPr="00240460" w:rsidRDefault="00240460" w:rsidP="00AF2447">
      <w:pPr>
        <w:numPr>
          <w:ilvl w:val="1"/>
          <w:numId w:val="5"/>
        </w:numPr>
        <w:rPr>
          <w:i/>
          <w:iCs/>
        </w:rPr>
      </w:pPr>
      <w:r>
        <w:rPr>
          <w:i/>
          <w:iCs/>
        </w:rPr>
        <w:t xml:space="preserve">Recommendation: </w:t>
      </w:r>
      <w:r>
        <w:t>The Subcommittee thanks the department for their attention to updating the syllabus statements regarding university polic</w:t>
      </w:r>
      <w:r w:rsidR="00DC2E8B">
        <w:t>ies and services</w:t>
      </w:r>
      <w:r>
        <w:t>.  However, due to recent office closures/name changes in response to Senate Bill 1, the university has updated the links</w:t>
      </w:r>
      <w:r w:rsidR="00DC2E8B">
        <w:t xml:space="preserve"> and/or the names of some offices mentioned</w:t>
      </w:r>
      <w:r>
        <w:t xml:space="preserve"> in the Diversity Statement, the Title IX Statement, </w:t>
      </w:r>
      <w:r w:rsidR="00DC2E8B">
        <w:t xml:space="preserve">and the Religious Accommodations statement.  The Subcommittee recommends updating these statements prior to finalizing the syllabus for </w:t>
      </w:r>
      <w:r w:rsidR="00E33B0B">
        <w:t>students and</w:t>
      </w:r>
      <w:r w:rsidR="00DC2E8B">
        <w:t xml:space="preserve"> apologizes for any inconvenience that these recent changes have caused.  They note that the most updated statements can always be found on the </w:t>
      </w:r>
      <w:hyperlink r:id="rId5" w:history="1">
        <w:r w:rsidR="00DC2E8B" w:rsidRPr="00DC2E8B">
          <w:rPr>
            <w:rStyle w:val="Hyperlink"/>
          </w:rPr>
          <w:t>Office of Undergraduate Education’s website.</w:t>
        </w:r>
      </w:hyperlink>
    </w:p>
    <w:p w14:paraId="568A7409" w14:textId="3E8F1878" w:rsidR="00AF2447" w:rsidRPr="00C548D3" w:rsidRDefault="00DC2E8B" w:rsidP="00AF2447">
      <w:pPr>
        <w:numPr>
          <w:ilvl w:val="1"/>
          <w:numId w:val="5"/>
        </w:numPr>
      </w:pPr>
      <w:r>
        <w:t>Comment: The Subcommittee appreciates the time and attention that ha</w:t>
      </w:r>
      <w:r w:rsidR="002306B3">
        <w:t>ve</w:t>
      </w:r>
      <w:r>
        <w:t xml:space="preserve"> gone into crafting this course.  Laura Podalsky (Arts and Humanities Subcommittee 2 chair) is happy to arrange a meeting should you have any questions about the subcommittee’s feedback.   She can be reached at Podalsky.1@osu.edu.</w:t>
      </w:r>
    </w:p>
    <w:p w14:paraId="063868F7" w14:textId="006D6E36" w:rsidR="00517A18" w:rsidRPr="00C548D3" w:rsidRDefault="00517A18" w:rsidP="00AF2447">
      <w:pPr>
        <w:numPr>
          <w:ilvl w:val="1"/>
          <w:numId w:val="5"/>
        </w:numPr>
      </w:pPr>
      <w:r w:rsidRPr="00C548D3">
        <w:t xml:space="preserve">Crocetta, Diles; approved with </w:t>
      </w:r>
      <w:r w:rsidR="00E33B0B">
        <w:rPr>
          <w:b/>
          <w:bCs/>
        </w:rPr>
        <w:t>three contingencies</w:t>
      </w:r>
      <w:r w:rsidR="00E33B0B">
        <w:t xml:space="preserve"> (in bold above), </w:t>
      </w:r>
      <w:r w:rsidR="00E33B0B">
        <w:rPr>
          <w:i/>
          <w:iCs/>
        </w:rPr>
        <w:t xml:space="preserve">two recommendations, </w:t>
      </w:r>
      <w:r w:rsidR="00E33B0B">
        <w:t>(in italics above) and one comment.</w:t>
      </w:r>
    </w:p>
    <w:p w14:paraId="4153A1D4" w14:textId="77777777" w:rsidR="00A721C9" w:rsidRPr="00C548D3" w:rsidRDefault="00A721C9" w:rsidP="00A721C9">
      <w:pPr>
        <w:numPr>
          <w:ilvl w:val="0"/>
          <w:numId w:val="5"/>
        </w:numPr>
      </w:pPr>
      <w:r w:rsidRPr="00C548D3">
        <w:t>English 3261 (new course requesting GEN Theme Traditions, Cultures, and Transformations)</w:t>
      </w:r>
    </w:p>
    <w:p w14:paraId="74290821" w14:textId="2EF08B2A" w:rsidR="00517A18" w:rsidRDefault="000A5675" w:rsidP="00791E1E">
      <w:pPr>
        <w:numPr>
          <w:ilvl w:val="1"/>
          <w:numId w:val="5"/>
        </w:numPr>
      </w:pPr>
      <w:r w:rsidRPr="00E33B0B">
        <w:rPr>
          <w:b/>
          <w:bCs/>
        </w:rPr>
        <w:t>Contingency:</w:t>
      </w:r>
      <w:r w:rsidRPr="00C548D3">
        <w:t xml:space="preserve"> </w:t>
      </w:r>
      <w:r w:rsidR="00E33B0B">
        <w:t>The Subcommittee asks that the department provide information in the syllabus (pp. 3-6) about the expected length of the essay assignments and the format/length of the final exam (i.e. take-home vs. in person exams, expected length and approx. number of “short answer” responses, open or closed note, etc.).</w:t>
      </w:r>
    </w:p>
    <w:p w14:paraId="425CAC18" w14:textId="77777777" w:rsidR="00B95E76" w:rsidRDefault="00B95E76" w:rsidP="00B95E76">
      <w:pPr>
        <w:numPr>
          <w:ilvl w:val="1"/>
          <w:numId w:val="5"/>
        </w:numPr>
      </w:pPr>
      <w:r>
        <w:rPr>
          <w:b/>
          <w:bCs/>
        </w:rPr>
        <w:t>Contingency:</w:t>
      </w:r>
      <w:r>
        <w:t xml:space="preserve">  The Subcommittee asks that the department clarify the percentage of the final grade given to each assignment, as the percentages listed with the assignment descriptions on pp. 3-6 do not match the “Weighting of Assignments” section on p. 6 of </w:t>
      </w:r>
      <w:r w:rsidRPr="00B95E76">
        <w:t>the syllabus.</w:t>
      </w:r>
    </w:p>
    <w:p w14:paraId="74A36C46" w14:textId="1574541C" w:rsidR="00B95E76" w:rsidRPr="00C548D3" w:rsidRDefault="0012230F" w:rsidP="0012230F">
      <w:pPr>
        <w:numPr>
          <w:ilvl w:val="1"/>
          <w:numId w:val="5"/>
        </w:numPr>
      </w:pPr>
      <w:r>
        <w:rPr>
          <w:rFonts w:eastAsia="Times New Roman" w:cs="Times New Roman"/>
          <w:b/>
          <w:bCs/>
        </w:rPr>
        <w:t xml:space="preserve">Contingency: </w:t>
      </w:r>
      <w:r w:rsidR="00B95E76" w:rsidRPr="00B95E76">
        <w:rPr>
          <w:rFonts w:eastAsia="Times New Roman" w:cs="Times New Roman"/>
        </w:rPr>
        <w:t xml:space="preserve">The </w:t>
      </w:r>
      <w:r>
        <w:rPr>
          <w:rFonts w:eastAsia="Times New Roman" w:cs="Times New Roman"/>
        </w:rPr>
        <w:t>Subcommittee asks</w:t>
      </w:r>
      <w:r w:rsidR="00B95E76" w:rsidRPr="00B95E76">
        <w:rPr>
          <w:rFonts w:eastAsia="Times New Roman" w:cs="Times New Roman"/>
        </w:rPr>
        <w:t xml:space="preserve"> that the department re-phrase the statement which </w:t>
      </w:r>
      <w:r w:rsidR="00B95E76" w:rsidRPr="0012230F">
        <w:rPr>
          <w:rFonts w:eastAsia="Times New Roman" w:cs="Times New Roman"/>
        </w:rPr>
        <w:t xml:space="preserve">describes the way in which this course fits into the new General Education Curriculum (syllabus pg. 1 under “General Education Goals and Expected Learning Outcomes”).  Since this is a 3-credit hour course, it does not, in and of itself, “fulfill” the “general requirements and expected learning outcomes for the new General Education Theme…”, as the requirement is for students to earn 4-6 credit hours in </w:t>
      </w:r>
      <w:r w:rsidR="00B95E76" w:rsidRPr="0012230F">
        <w:rPr>
          <w:rFonts w:eastAsia="Times New Roman" w:cs="Times New Roman"/>
        </w:rPr>
        <w:lastRenderedPageBreak/>
        <w:t xml:space="preserve">this category; stating that a single course fulfills the requirement can be confusing or misleading for students.  Instead, the </w:t>
      </w:r>
      <w:r>
        <w:rPr>
          <w:rFonts w:eastAsia="Times New Roman" w:cs="Times New Roman"/>
        </w:rPr>
        <w:t>Subcommittee</w:t>
      </w:r>
      <w:r w:rsidR="00B95E76" w:rsidRPr="0012230F">
        <w:rPr>
          <w:rFonts w:eastAsia="Times New Roman" w:cs="Times New Roman"/>
        </w:rPr>
        <w:t xml:space="preserve"> suggest</w:t>
      </w:r>
      <w:r>
        <w:rPr>
          <w:rFonts w:eastAsia="Times New Roman" w:cs="Times New Roman"/>
        </w:rPr>
        <w:t>s</w:t>
      </w:r>
      <w:r w:rsidR="00B95E76" w:rsidRPr="0012230F">
        <w:rPr>
          <w:rFonts w:eastAsia="Times New Roman" w:cs="Times New Roman"/>
        </w:rPr>
        <w:t xml:space="preserve"> wording such as “</w:t>
      </w:r>
      <w:r w:rsidRPr="0012230F">
        <w:rPr>
          <w:rFonts w:eastAsia="Times New Roman" w:cs="Times New Roman"/>
        </w:rPr>
        <w:t>English 3261</w:t>
      </w:r>
      <w:r w:rsidR="00B95E76" w:rsidRPr="0012230F">
        <w:rPr>
          <w:rFonts w:eastAsia="Times New Roman" w:cs="Times New Roman"/>
        </w:rPr>
        <w:t xml:space="preserve"> is an approved course in the GEN Theme: Traditions, Cultures and Transformations category</w:t>
      </w:r>
      <w:r w:rsidRPr="0012230F">
        <w:rPr>
          <w:rFonts w:eastAsia="Times New Roman" w:cs="Times New Roman"/>
        </w:rPr>
        <w:t>.”</w:t>
      </w:r>
    </w:p>
    <w:p w14:paraId="6662BAC1" w14:textId="71FBF6CB" w:rsidR="0012230F" w:rsidRDefault="0012230F" w:rsidP="00791E1E">
      <w:pPr>
        <w:numPr>
          <w:ilvl w:val="1"/>
          <w:numId w:val="5"/>
        </w:numPr>
      </w:pPr>
      <w:r>
        <w:rPr>
          <w:i/>
          <w:iCs/>
        </w:rPr>
        <w:t>Recommendation</w:t>
      </w:r>
      <w:r>
        <w:t>: The Subcommittee suggests that the department consider a change to the title of the course.  They offer the friendly suggestion of “narrative” or “storytelling” in place of “fiction”, as there are several non-fiction readings in the course</w:t>
      </w:r>
      <w:r w:rsidR="00C21149">
        <w:t xml:space="preserve"> calendar.</w:t>
      </w:r>
    </w:p>
    <w:p w14:paraId="346CE5AF" w14:textId="44E6FB1C" w:rsidR="0012230F" w:rsidRDefault="0012230F" w:rsidP="0012230F">
      <w:pPr>
        <w:numPr>
          <w:ilvl w:val="1"/>
          <w:numId w:val="5"/>
        </w:numPr>
      </w:pPr>
      <w:r>
        <w:rPr>
          <w:i/>
          <w:iCs/>
        </w:rPr>
        <w:t>Recommendation</w:t>
      </w:r>
      <w:r w:rsidRPr="0012230F">
        <w:t>:</w:t>
      </w:r>
      <w:r>
        <w:t xml:space="preserve"> The Subcommittee recommends that the department place the course description before the GEN Goal</w:t>
      </w:r>
      <w:r w:rsidR="004277F7">
        <w:t>s and ELOs on p. 1 of the syllabus.</w:t>
      </w:r>
    </w:p>
    <w:p w14:paraId="5D74567A" w14:textId="2E043570" w:rsidR="004277F7" w:rsidRDefault="004277F7" w:rsidP="0012230F">
      <w:pPr>
        <w:numPr>
          <w:ilvl w:val="1"/>
          <w:numId w:val="5"/>
        </w:numPr>
      </w:pPr>
      <w:r>
        <w:rPr>
          <w:i/>
          <w:iCs/>
        </w:rPr>
        <w:t>Recommendation</w:t>
      </w:r>
      <w:r w:rsidRPr="004277F7">
        <w:t>:</w:t>
      </w:r>
      <w:r>
        <w:t xml:space="preserve"> The Subcommittee recommends that the department update the Religious Accommodations statement (syllabus p. 11-12), as the name of the Office of Institutional Equity has changed, and the link to the list of Religious Holidays and Observances is missing.  </w:t>
      </w:r>
      <w:r w:rsidRPr="004277F7">
        <w:t xml:space="preserve">The updated statement can be found in an easy-to-copy/paste format on the </w:t>
      </w:r>
      <w:hyperlink r:id="rId6" w:history="1">
        <w:r w:rsidRPr="004277F7">
          <w:rPr>
            <w:rStyle w:val="Hyperlink"/>
          </w:rPr>
          <w:t>Arts and Sciences Curriculum and Assessment Services website</w:t>
        </w:r>
      </w:hyperlink>
      <w:r w:rsidRPr="004277F7">
        <w:t>.</w:t>
      </w:r>
    </w:p>
    <w:p w14:paraId="38880F31" w14:textId="4E66B8BF" w:rsidR="00C16AE0" w:rsidRDefault="00C16AE0" w:rsidP="0012230F">
      <w:pPr>
        <w:numPr>
          <w:ilvl w:val="1"/>
          <w:numId w:val="5"/>
        </w:numPr>
      </w:pPr>
      <w:r>
        <w:rPr>
          <w:i/>
          <w:iCs/>
        </w:rPr>
        <w:t>Recommendation</w:t>
      </w:r>
      <w:r w:rsidRPr="00C16AE0">
        <w:t>:</w:t>
      </w:r>
      <w:r>
        <w:t xml:space="preserve">  The Subcommittee notes that the syllabus contains two Student Life Disability Services statements </w:t>
      </w:r>
      <w:r w:rsidR="008F009B">
        <w:t>(</w:t>
      </w:r>
      <w:r>
        <w:t>one on p. 11 and one on p. 12</w:t>
      </w:r>
      <w:r w:rsidR="008F009B">
        <w:t>)</w:t>
      </w:r>
      <w:r>
        <w:t xml:space="preserve">; they recommend retaining the statement on p. 12, as it is the most recent. </w:t>
      </w:r>
    </w:p>
    <w:p w14:paraId="509CF306" w14:textId="1C1CAD9B" w:rsidR="000A5675" w:rsidRPr="00C548D3" w:rsidRDefault="00C548D3" w:rsidP="00791E1E">
      <w:pPr>
        <w:numPr>
          <w:ilvl w:val="1"/>
          <w:numId w:val="5"/>
        </w:numPr>
      </w:pPr>
      <w:r w:rsidRPr="00C548D3">
        <w:rPr>
          <w:rFonts w:cs="Times New Roman"/>
        </w:rPr>
        <w:t>Köhnlein</w:t>
      </w:r>
      <w:r w:rsidR="000A5675" w:rsidRPr="00C548D3">
        <w:t xml:space="preserve">, Diles; approved with </w:t>
      </w:r>
      <w:r w:rsidR="00C16AE0">
        <w:rPr>
          <w:b/>
          <w:bCs/>
        </w:rPr>
        <w:t>three contingencies</w:t>
      </w:r>
      <w:r w:rsidR="00C16AE0">
        <w:t xml:space="preserve"> (in bold above) and </w:t>
      </w:r>
      <w:r w:rsidR="00C16AE0">
        <w:rPr>
          <w:i/>
          <w:iCs/>
        </w:rPr>
        <w:t xml:space="preserve">four recommendations </w:t>
      </w:r>
      <w:r w:rsidR="00C16AE0">
        <w:t>(in italics above).</w:t>
      </w:r>
    </w:p>
    <w:p w14:paraId="40740EAB" w14:textId="77777777" w:rsidR="00A721C9" w:rsidRPr="00C548D3" w:rsidRDefault="00A721C9" w:rsidP="00A721C9">
      <w:pPr>
        <w:numPr>
          <w:ilvl w:val="0"/>
          <w:numId w:val="5"/>
        </w:numPr>
      </w:pPr>
      <w:r w:rsidRPr="00C548D3">
        <w:t>Art Education 5677 (new course)</w:t>
      </w:r>
    </w:p>
    <w:p w14:paraId="1E40F795" w14:textId="485CC458" w:rsidR="00C16AE0" w:rsidRDefault="00C16AE0" w:rsidP="00791E1E">
      <w:pPr>
        <w:numPr>
          <w:ilvl w:val="1"/>
          <w:numId w:val="5"/>
        </w:numPr>
      </w:pPr>
      <w:r>
        <w:rPr>
          <w:b/>
          <w:bCs/>
        </w:rPr>
        <w:t xml:space="preserve">Contingency: </w:t>
      </w:r>
      <w:r>
        <w:t xml:space="preserve">The Subcommittee asks that the </w:t>
      </w:r>
      <w:r w:rsidR="008A2200">
        <w:t>department alter the heading on p. 1 of the syllabus, as the proposed course title does not include “Seminar on Topical Issues in Art Education”</w:t>
      </w:r>
      <w:r w:rsidR="00C21149">
        <w:t>.  This wording indicates</w:t>
      </w:r>
      <w:r w:rsidR="008A2200">
        <w:t xml:space="preserve"> a variable topics course, which does not coincide with the information provided by the department in curriculum.osu.edu.</w:t>
      </w:r>
    </w:p>
    <w:p w14:paraId="27CFB435" w14:textId="30475C7C" w:rsidR="008A2200" w:rsidRDefault="008A2200" w:rsidP="00791E1E">
      <w:pPr>
        <w:numPr>
          <w:ilvl w:val="1"/>
          <w:numId w:val="5"/>
        </w:numPr>
      </w:pPr>
      <w:r>
        <w:rPr>
          <w:b/>
          <w:bCs/>
        </w:rPr>
        <w:t xml:space="preserve">Contingency: </w:t>
      </w:r>
      <w:r>
        <w:t xml:space="preserve">The Subcommittee asks that the department </w:t>
      </w:r>
      <w:r w:rsidR="003A623D">
        <w:t>provide additional information about the expected length of the presentations (syllabus p. 2).</w:t>
      </w:r>
    </w:p>
    <w:p w14:paraId="5AF5273B" w14:textId="5E174173" w:rsidR="003A623D" w:rsidRDefault="003A623D" w:rsidP="00791E1E">
      <w:pPr>
        <w:numPr>
          <w:ilvl w:val="1"/>
          <w:numId w:val="5"/>
        </w:numPr>
      </w:pPr>
      <w:r>
        <w:rPr>
          <w:b/>
          <w:bCs/>
        </w:rPr>
        <w:t>Contingency:</w:t>
      </w:r>
      <w:r>
        <w:t xml:space="preserve">  The Subcommittee requests that the department obtain a concurrence from the International Studies Program.</w:t>
      </w:r>
    </w:p>
    <w:p w14:paraId="6527CECF" w14:textId="12AA81F9" w:rsidR="00D04EB5" w:rsidRPr="00A60FAD" w:rsidRDefault="00D04EB5" w:rsidP="00D04EB5">
      <w:pPr>
        <w:numPr>
          <w:ilvl w:val="1"/>
          <w:numId w:val="5"/>
        </w:numPr>
      </w:pPr>
      <w:r>
        <w:rPr>
          <w:i/>
          <w:iCs/>
        </w:rPr>
        <w:t xml:space="preserve">Recommendation:  </w:t>
      </w:r>
      <w:r>
        <w:t xml:space="preserve">The Subcommittee recommends that the department adjust the “Total” portion of the Grading and Assignments table (syllabus, p. </w:t>
      </w:r>
      <w:r w:rsidR="002172C2">
        <w:t>2</w:t>
      </w:r>
      <w:r>
        <w:t xml:space="preserve">), as the </w:t>
      </w:r>
      <w:r w:rsidRPr="00A60FAD">
        <w:t>assignments add up to 100% rather than 105%.</w:t>
      </w:r>
      <w:bookmarkStart w:id="0" w:name="_Hlk175843382"/>
      <w:bookmarkStart w:id="1" w:name="_Hlk149052608"/>
    </w:p>
    <w:p w14:paraId="02DB9240" w14:textId="0FB0DE0A" w:rsidR="00D04EB5" w:rsidRPr="0016584C" w:rsidRDefault="0016584C" w:rsidP="00D04EB5">
      <w:pPr>
        <w:numPr>
          <w:ilvl w:val="1"/>
          <w:numId w:val="5"/>
        </w:numPr>
      </w:pPr>
      <w:r>
        <w:rPr>
          <w:i/>
          <w:iCs/>
        </w:rPr>
        <w:t xml:space="preserve">Recommendation:  </w:t>
      </w:r>
      <w:r w:rsidR="00D04EB5" w:rsidRPr="0016584C">
        <w:rPr>
          <w:rFonts w:cs="Times New Roman"/>
        </w:rPr>
        <w:t xml:space="preserve">The </w:t>
      </w:r>
      <w:r w:rsidR="00D04EB5" w:rsidRPr="0016584C">
        <w:rPr>
          <w:rFonts w:eastAsia="Times New Roman" w:cs="Times New Roman"/>
        </w:rPr>
        <w:t>Subcommittee</w:t>
      </w:r>
      <w:r w:rsidR="00D04EB5" w:rsidRPr="0016584C">
        <w:rPr>
          <w:rFonts w:cs="Times New Roman"/>
        </w:rPr>
        <w:t xml:space="preserve"> recommends that the departmen</w:t>
      </w:r>
      <w:r w:rsidR="00A60FAD" w:rsidRPr="0016584C">
        <w:rPr>
          <w:rFonts w:cs="Times New Roman"/>
        </w:rPr>
        <w:t xml:space="preserve">t </w:t>
      </w:r>
      <w:r w:rsidR="00D04EB5" w:rsidRPr="0016584C">
        <w:rPr>
          <w:rFonts w:cs="Times New Roman"/>
        </w:rPr>
        <w:t>use the most recent version of the Student Life Disability Services Statement (syllabus, pg.</w:t>
      </w:r>
      <w:r w:rsidR="009627BF" w:rsidRPr="0016584C">
        <w:rPr>
          <w:rFonts w:cs="Times New Roman"/>
        </w:rPr>
        <w:t xml:space="preserve"> 4</w:t>
      </w:r>
      <w:r w:rsidR="00D04EB5" w:rsidRPr="0016584C">
        <w:rPr>
          <w:rFonts w:cs="Times New Roman"/>
        </w:rPr>
        <w:t xml:space="preserve">), which was updated in August 2024.  The updated statement can be found in an </w:t>
      </w:r>
      <w:r w:rsidR="00D04EB5" w:rsidRPr="0016584C">
        <w:rPr>
          <w:rFonts w:cs="Times New Roman"/>
        </w:rPr>
        <w:lastRenderedPageBreak/>
        <w:t xml:space="preserve">easy-to-copy/paste format on the </w:t>
      </w:r>
      <w:hyperlink r:id="rId7" w:history="1">
        <w:r w:rsidR="00D04EB5" w:rsidRPr="0016584C">
          <w:rPr>
            <w:rStyle w:val="Hyperlink"/>
            <w:rFonts w:cs="Times New Roman"/>
          </w:rPr>
          <w:t>Arts and Sciences Curriculum and Assessment Services website</w:t>
        </w:r>
      </w:hyperlink>
      <w:r w:rsidR="00D04EB5" w:rsidRPr="0016584C">
        <w:rPr>
          <w:rFonts w:cs="Times New Roman"/>
        </w:rPr>
        <w:t xml:space="preserve">. </w:t>
      </w:r>
      <w:bookmarkStart w:id="2" w:name="_Hlk175843550"/>
      <w:bookmarkStart w:id="3" w:name="_Hlk149059008"/>
      <w:bookmarkEnd w:id="0"/>
      <w:bookmarkEnd w:id="1"/>
    </w:p>
    <w:p w14:paraId="40294976" w14:textId="0F42DD3C" w:rsidR="00A60FAD" w:rsidRPr="0016584C" w:rsidRDefault="0016584C" w:rsidP="00A60FAD">
      <w:pPr>
        <w:numPr>
          <w:ilvl w:val="1"/>
          <w:numId w:val="5"/>
        </w:numPr>
      </w:pPr>
      <w:r>
        <w:rPr>
          <w:i/>
          <w:iCs/>
        </w:rPr>
        <w:t xml:space="preserve">Recommendation:  </w:t>
      </w:r>
      <w:r w:rsidR="00D04EB5" w:rsidRPr="0016584C">
        <w:rPr>
          <w:rFonts w:cs="Times New Roman"/>
        </w:rPr>
        <w:t xml:space="preserve">The </w:t>
      </w:r>
      <w:r w:rsidR="00D04EB5" w:rsidRPr="0016584C">
        <w:rPr>
          <w:rFonts w:eastAsia="Times New Roman" w:cs="Times New Roman"/>
        </w:rPr>
        <w:t xml:space="preserve">Subcommittee </w:t>
      </w:r>
      <w:r w:rsidR="00D04EB5" w:rsidRPr="0016584C">
        <w:rPr>
          <w:rFonts w:cs="Times New Roman"/>
        </w:rPr>
        <w:t xml:space="preserve">recommends that the department use the most recent version of the Mental Health Statement (syllabus, pg. </w:t>
      </w:r>
      <w:r w:rsidR="009627BF" w:rsidRPr="0016584C">
        <w:rPr>
          <w:rFonts w:cs="Times New Roman"/>
        </w:rPr>
        <w:t>4</w:t>
      </w:r>
      <w:r w:rsidR="00D04EB5" w:rsidRPr="0016584C">
        <w:rPr>
          <w:rFonts w:cs="Times New Roman"/>
        </w:rPr>
        <w:t xml:space="preserve">), as the name and phone number of the Suicide/Crisis hotline have changed.  The updated statement can be found in an easy-to-copy/paste format on the </w:t>
      </w:r>
      <w:hyperlink r:id="rId8" w:history="1">
        <w:r w:rsidR="00D04EB5" w:rsidRPr="0016584C">
          <w:rPr>
            <w:rStyle w:val="Hyperlink"/>
            <w:rFonts w:cs="Times New Roman"/>
          </w:rPr>
          <w:t>ASCCAS website.</w:t>
        </w:r>
      </w:hyperlink>
      <w:r w:rsidR="00D04EB5" w:rsidRPr="0016584C">
        <w:rPr>
          <w:rFonts w:cs="Times New Roman"/>
        </w:rPr>
        <w:t xml:space="preserve"> </w:t>
      </w:r>
      <w:bookmarkStart w:id="4" w:name="_Hlk163932866"/>
      <w:bookmarkStart w:id="5" w:name="_Hlk187531804"/>
      <w:bookmarkEnd w:id="2"/>
    </w:p>
    <w:bookmarkEnd w:id="3"/>
    <w:bookmarkEnd w:id="4"/>
    <w:bookmarkEnd w:id="5"/>
    <w:p w14:paraId="15CE4DBE" w14:textId="6AD5FD4F" w:rsidR="009627BF" w:rsidRPr="0016584C" w:rsidRDefault="0016584C" w:rsidP="009627BF">
      <w:pPr>
        <w:numPr>
          <w:ilvl w:val="1"/>
          <w:numId w:val="5"/>
        </w:numPr>
      </w:pPr>
      <w:r>
        <w:rPr>
          <w:i/>
          <w:iCs/>
        </w:rPr>
        <w:t xml:space="preserve">Recommendation:  </w:t>
      </w:r>
      <w:r w:rsidR="009627BF" w:rsidRPr="0016584C">
        <w:rPr>
          <w:rFonts w:cs="Times New Roman"/>
        </w:rPr>
        <w:t xml:space="preserve">The </w:t>
      </w:r>
      <w:r w:rsidR="009627BF" w:rsidRPr="0016584C">
        <w:rPr>
          <w:rFonts w:eastAsia="Times New Roman" w:cs="Times New Roman"/>
        </w:rPr>
        <w:t>Subcommittee</w:t>
      </w:r>
      <w:r w:rsidR="009627BF" w:rsidRPr="0016584C">
        <w:rPr>
          <w:rFonts w:cs="Times New Roman"/>
        </w:rPr>
        <w:t xml:space="preserve"> recommends that the department use the most recent version of the Religious Accommodations Statement (syllabus, pg. 5), which was updated in SP25 </w:t>
      </w:r>
      <w:r w:rsidRPr="0016584C">
        <w:rPr>
          <w:rFonts w:cs="Times New Roman"/>
        </w:rPr>
        <w:t>due to</w:t>
      </w:r>
      <w:r w:rsidR="009627BF" w:rsidRPr="0016584C">
        <w:rPr>
          <w:rFonts w:cs="Times New Roman"/>
        </w:rPr>
        <w:t xml:space="preserve"> the closure and </w:t>
      </w:r>
      <w:r w:rsidR="00C21149">
        <w:rPr>
          <w:rFonts w:cs="Times New Roman"/>
        </w:rPr>
        <w:t>renaming</w:t>
      </w:r>
      <w:r w:rsidR="009627BF" w:rsidRPr="0016584C">
        <w:rPr>
          <w:rFonts w:cs="Times New Roman"/>
        </w:rPr>
        <w:t xml:space="preserve"> of several campus offices. </w:t>
      </w:r>
      <w:r w:rsidR="00C21149">
        <w:rPr>
          <w:rFonts w:cs="Times New Roman"/>
        </w:rPr>
        <w:t xml:space="preserve"> </w:t>
      </w:r>
      <w:r w:rsidR="009627BF" w:rsidRPr="0016584C">
        <w:rPr>
          <w:rFonts w:cs="Times New Roman"/>
        </w:rPr>
        <w:t xml:space="preserve">The updated statement can be found in an easy-to-copy/paste format on the </w:t>
      </w:r>
      <w:hyperlink r:id="rId9" w:history="1">
        <w:r w:rsidR="009627BF" w:rsidRPr="0016584C">
          <w:rPr>
            <w:rStyle w:val="Hyperlink"/>
            <w:rFonts w:cs="Times New Roman"/>
          </w:rPr>
          <w:t>Arts and Sciences Curriculum and Assessment Services website</w:t>
        </w:r>
      </w:hyperlink>
      <w:r w:rsidR="009627BF" w:rsidRPr="0016584C">
        <w:rPr>
          <w:rFonts w:cs="Times New Roman"/>
        </w:rPr>
        <w:t>. Please note that the link to the list of Religious Holidays and Observances should be included with the statement.</w:t>
      </w:r>
    </w:p>
    <w:p w14:paraId="50AD37A5" w14:textId="3248E0C9" w:rsidR="00A60FAD" w:rsidRPr="0016584C" w:rsidRDefault="0016584C" w:rsidP="00A60FAD">
      <w:pPr>
        <w:numPr>
          <w:ilvl w:val="1"/>
          <w:numId w:val="5"/>
        </w:numPr>
        <w:rPr>
          <w:rStyle w:val="Hyperlink"/>
          <w:color w:val="auto"/>
          <w:u w:val="none"/>
        </w:rPr>
      </w:pPr>
      <w:r>
        <w:rPr>
          <w:i/>
          <w:iCs/>
        </w:rPr>
        <w:t xml:space="preserve">Recommendation: </w:t>
      </w:r>
      <w:r w:rsidR="00A60FAD" w:rsidRPr="0016584C">
        <w:rPr>
          <w:rFonts w:cs="Times New Roman"/>
        </w:rPr>
        <w:t xml:space="preserve">The </w:t>
      </w:r>
      <w:r w:rsidR="00A60FAD" w:rsidRPr="0016584C">
        <w:rPr>
          <w:rFonts w:eastAsia="Times New Roman" w:cs="Times New Roman"/>
        </w:rPr>
        <w:t xml:space="preserve">Subcommittee </w:t>
      </w:r>
      <w:r w:rsidR="00A60FAD" w:rsidRPr="0016584C">
        <w:rPr>
          <w:rFonts w:cs="Times New Roman"/>
        </w:rPr>
        <w:t xml:space="preserve">recommends that the department </w:t>
      </w:r>
      <w:r w:rsidR="009627BF" w:rsidRPr="0016584C">
        <w:rPr>
          <w:rFonts w:cs="Times New Roman"/>
        </w:rPr>
        <w:t>use the most recent version of</w:t>
      </w:r>
      <w:r w:rsidR="00A60FAD" w:rsidRPr="0016584C">
        <w:rPr>
          <w:rFonts w:cs="Times New Roman"/>
        </w:rPr>
        <w:t xml:space="preserve"> the Title IX statement (syllabus p. </w:t>
      </w:r>
      <w:r w:rsidR="001C5345">
        <w:rPr>
          <w:rFonts w:cs="Times New Roman"/>
        </w:rPr>
        <w:t>5</w:t>
      </w:r>
      <w:r w:rsidR="00A60FAD" w:rsidRPr="0016584C">
        <w:rPr>
          <w:rFonts w:cs="Times New Roman"/>
        </w:rPr>
        <w:t xml:space="preserve">), </w:t>
      </w:r>
      <w:r w:rsidR="009627BF" w:rsidRPr="0016584C">
        <w:rPr>
          <w:rFonts w:cs="Times New Roman"/>
        </w:rPr>
        <w:t xml:space="preserve">which was updated in SP25 </w:t>
      </w:r>
      <w:r w:rsidRPr="0016584C">
        <w:rPr>
          <w:rFonts w:cs="Times New Roman"/>
        </w:rPr>
        <w:t>due to the</w:t>
      </w:r>
      <w:r w:rsidR="009627BF" w:rsidRPr="0016584C">
        <w:rPr>
          <w:rFonts w:cs="Times New Roman"/>
        </w:rPr>
        <w:t xml:space="preserve"> closure and </w:t>
      </w:r>
      <w:r w:rsidR="00C21149">
        <w:rPr>
          <w:rFonts w:cs="Times New Roman"/>
        </w:rPr>
        <w:t>renaming</w:t>
      </w:r>
      <w:r w:rsidR="009627BF" w:rsidRPr="0016584C">
        <w:rPr>
          <w:rFonts w:cs="Times New Roman"/>
        </w:rPr>
        <w:t xml:space="preserve"> of several campus offices.  </w:t>
      </w:r>
      <w:r w:rsidR="00A60FAD" w:rsidRPr="0016584C">
        <w:rPr>
          <w:rFonts w:cs="Times New Roman"/>
        </w:rPr>
        <w:t xml:space="preserve">An updated statement can be found in an easy-to-copy/paste format on the </w:t>
      </w:r>
      <w:hyperlink r:id="rId10" w:history="1">
        <w:r w:rsidR="00A60FAD" w:rsidRPr="0016584C">
          <w:rPr>
            <w:rStyle w:val="Hyperlink"/>
            <w:rFonts w:cs="Times New Roman"/>
          </w:rPr>
          <w:t>ASCCAS website.</w:t>
        </w:r>
      </w:hyperlink>
    </w:p>
    <w:p w14:paraId="12CB1BAD" w14:textId="577E650E" w:rsidR="00D04EB5" w:rsidRPr="00A60FAD" w:rsidRDefault="0016584C" w:rsidP="00791E1E">
      <w:pPr>
        <w:numPr>
          <w:ilvl w:val="1"/>
          <w:numId w:val="5"/>
        </w:numPr>
      </w:pPr>
      <w:r>
        <w:rPr>
          <w:i/>
          <w:iCs/>
        </w:rPr>
        <w:t xml:space="preserve">Recommendation: </w:t>
      </w:r>
      <w:r w:rsidR="009627BF">
        <w:rPr>
          <w:rFonts w:cs="Times New Roman"/>
        </w:rPr>
        <w:t xml:space="preserve">The Subcommittee suggests that the department remove </w:t>
      </w:r>
      <w:r>
        <w:rPr>
          <w:rFonts w:cs="Times New Roman"/>
        </w:rPr>
        <w:t>the final sentence of the</w:t>
      </w:r>
      <w:r w:rsidR="009627BF">
        <w:rPr>
          <w:rFonts w:cs="Times New Roman"/>
        </w:rPr>
        <w:t xml:space="preserve"> Land Acknowledgement</w:t>
      </w:r>
      <w:r w:rsidR="00C21149">
        <w:rPr>
          <w:rFonts w:cs="Times New Roman"/>
        </w:rPr>
        <w:t xml:space="preserve"> (syllabus p. 6)</w:t>
      </w:r>
      <w:r w:rsidR="009627BF">
        <w:rPr>
          <w:rFonts w:cs="Times New Roman"/>
        </w:rPr>
        <w:t>, as the Center for Belonging and Social Change (formerly the Multicultural Center) has been closed</w:t>
      </w:r>
      <w:r>
        <w:rPr>
          <w:rFonts w:cs="Times New Roman"/>
        </w:rPr>
        <w:t>, and their website is no longer available.</w:t>
      </w:r>
    </w:p>
    <w:p w14:paraId="587FD358" w14:textId="4A34271B" w:rsidR="00FE10A8" w:rsidRPr="00A60FAD" w:rsidRDefault="0016584C" w:rsidP="00791E1E">
      <w:pPr>
        <w:numPr>
          <w:ilvl w:val="1"/>
          <w:numId w:val="5"/>
        </w:numPr>
      </w:pPr>
      <w:r>
        <w:rPr>
          <w:i/>
          <w:iCs/>
        </w:rPr>
        <w:t xml:space="preserve">Recommendation:  </w:t>
      </w:r>
      <w:r>
        <w:t>The Subcommittee recommends that the department change the heading “Code of Student Conduct” (syllabus p.</w:t>
      </w:r>
      <w:r w:rsidR="00C21149">
        <w:t xml:space="preserve"> </w:t>
      </w:r>
      <w:r>
        <w:t>4) to “Academic Misconduct”, as the Code of Student Conduct is a much broader document that encompasses all types of student behavior inside and outside of the classroom.</w:t>
      </w:r>
    </w:p>
    <w:p w14:paraId="58D24C6D" w14:textId="6E14D8A3" w:rsidR="0093289A" w:rsidRPr="00A60FAD" w:rsidRDefault="0093289A" w:rsidP="00791E1E">
      <w:pPr>
        <w:numPr>
          <w:ilvl w:val="1"/>
          <w:numId w:val="5"/>
        </w:numPr>
      </w:pPr>
      <w:r w:rsidRPr="00A60FAD">
        <w:t>Crocetta,</w:t>
      </w:r>
      <w:r w:rsidR="00C548D3" w:rsidRPr="00A60FAD">
        <w:rPr>
          <w:rFonts w:cs="Times New Roman"/>
        </w:rPr>
        <w:t xml:space="preserve"> Köhnlein</w:t>
      </w:r>
      <w:r w:rsidRPr="00A60FAD">
        <w:t xml:space="preserve">; approved with </w:t>
      </w:r>
      <w:r w:rsidR="0016584C">
        <w:rPr>
          <w:b/>
          <w:bCs/>
        </w:rPr>
        <w:t xml:space="preserve">three contingencies </w:t>
      </w:r>
      <w:r w:rsidR="0016584C">
        <w:t xml:space="preserve">(in bold above) and </w:t>
      </w:r>
      <w:r w:rsidR="0016584C">
        <w:rPr>
          <w:i/>
          <w:iCs/>
        </w:rPr>
        <w:t>seven recommendations</w:t>
      </w:r>
      <w:r w:rsidR="0016584C">
        <w:t xml:space="preserve"> (in italics above) </w:t>
      </w:r>
    </w:p>
    <w:p w14:paraId="74B28A7C" w14:textId="68E3C545" w:rsidR="00DA7D31" w:rsidRPr="00C548D3" w:rsidRDefault="00DA7D31" w:rsidP="00A721C9"/>
    <w:sectPr w:rsidR="00DA7D31" w:rsidRPr="00C54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33D06"/>
    <w:multiLevelType w:val="multilevel"/>
    <w:tmpl w:val="833AA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5E56A8"/>
    <w:multiLevelType w:val="multilevel"/>
    <w:tmpl w:val="89B0C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865179"/>
    <w:multiLevelType w:val="multilevel"/>
    <w:tmpl w:val="9ECC8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1D590C"/>
    <w:multiLevelType w:val="multilevel"/>
    <w:tmpl w:val="ED40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1F6E7B"/>
    <w:multiLevelType w:val="multilevel"/>
    <w:tmpl w:val="6CE87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F8271A"/>
    <w:multiLevelType w:val="hybridMultilevel"/>
    <w:tmpl w:val="78EA2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559535">
    <w:abstractNumId w:val="2"/>
  </w:num>
  <w:num w:numId="2" w16cid:durableId="736123488">
    <w:abstractNumId w:val="5"/>
  </w:num>
  <w:num w:numId="3" w16cid:durableId="1345672144">
    <w:abstractNumId w:val="4"/>
  </w:num>
  <w:num w:numId="4" w16cid:durableId="572280174">
    <w:abstractNumId w:val="1"/>
  </w:num>
  <w:num w:numId="5" w16cid:durableId="1303584750">
    <w:abstractNumId w:val="0"/>
  </w:num>
  <w:num w:numId="6" w16cid:durableId="392893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14"/>
    <w:rsid w:val="00021B53"/>
    <w:rsid w:val="000267E6"/>
    <w:rsid w:val="000A5675"/>
    <w:rsid w:val="000B2461"/>
    <w:rsid w:val="000B5A0A"/>
    <w:rsid w:val="000D08C1"/>
    <w:rsid w:val="000E7D7D"/>
    <w:rsid w:val="000F7407"/>
    <w:rsid w:val="00114790"/>
    <w:rsid w:val="0012230F"/>
    <w:rsid w:val="00133F36"/>
    <w:rsid w:val="00155C92"/>
    <w:rsid w:val="0016584C"/>
    <w:rsid w:val="001773C9"/>
    <w:rsid w:val="00182C7E"/>
    <w:rsid w:val="001A7D1E"/>
    <w:rsid w:val="001C3321"/>
    <w:rsid w:val="001C5345"/>
    <w:rsid w:val="001F3DB7"/>
    <w:rsid w:val="00215A22"/>
    <w:rsid w:val="002172C2"/>
    <w:rsid w:val="002306B3"/>
    <w:rsid w:val="00240460"/>
    <w:rsid w:val="002977D6"/>
    <w:rsid w:val="002A3B11"/>
    <w:rsid w:val="002B08F2"/>
    <w:rsid w:val="002D5C95"/>
    <w:rsid w:val="002F4A06"/>
    <w:rsid w:val="003532E7"/>
    <w:rsid w:val="003A6155"/>
    <w:rsid w:val="003A623D"/>
    <w:rsid w:val="00406614"/>
    <w:rsid w:val="0041567E"/>
    <w:rsid w:val="004277F7"/>
    <w:rsid w:val="00460D1C"/>
    <w:rsid w:val="00465F11"/>
    <w:rsid w:val="00466B0A"/>
    <w:rsid w:val="0047007C"/>
    <w:rsid w:val="00492AFA"/>
    <w:rsid w:val="00494F16"/>
    <w:rsid w:val="00497929"/>
    <w:rsid w:val="004B39A4"/>
    <w:rsid w:val="004D0165"/>
    <w:rsid w:val="004D2EC7"/>
    <w:rsid w:val="004D55A5"/>
    <w:rsid w:val="004F4386"/>
    <w:rsid w:val="00517A18"/>
    <w:rsid w:val="005527F5"/>
    <w:rsid w:val="005A7184"/>
    <w:rsid w:val="005C3E06"/>
    <w:rsid w:val="005D52CD"/>
    <w:rsid w:val="006310EC"/>
    <w:rsid w:val="00631AC4"/>
    <w:rsid w:val="006B4101"/>
    <w:rsid w:val="006D73AA"/>
    <w:rsid w:val="006E0792"/>
    <w:rsid w:val="006F213B"/>
    <w:rsid w:val="00732A75"/>
    <w:rsid w:val="00736EF1"/>
    <w:rsid w:val="00771493"/>
    <w:rsid w:val="00787D23"/>
    <w:rsid w:val="00791E1E"/>
    <w:rsid w:val="007B428B"/>
    <w:rsid w:val="00825528"/>
    <w:rsid w:val="008302A0"/>
    <w:rsid w:val="00832E40"/>
    <w:rsid w:val="008A2200"/>
    <w:rsid w:val="008D6798"/>
    <w:rsid w:val="008D69AE"/>
    <w:rsid w:val="008F009B"/>
    <w:rsid w:val="009117B0"/>
    <w:rsid w:val="00915C1C"/>
    <w:rsid w:val="00920B9C"/>
    <w:rsid w:val="0093289A"/>
    <w:rsid w:val="00935A98"/>
    <w:rsid w:val="009627BF"/>
    <w:rsid w:val="0096451A"/>
    <w:rsid w:val="00966587"/>
    <w:rsid w:val="009A030D"/>
    <w:rsid w:val="009C53D7"/>
    <w:rsid w:val="00A1712A"/>
    <w:rsid w:val="00A172E6"/>
    <w:rsid w:val="00A2444D"/>
    <w:rsid w:val="00A6057D"/>
    <w:rsid w:val="00A60FAD"/>
    <w:rsid w:val="00A721C9"/>
    <w:rsid w:val="00A825B4"/>
    <w:rsid w:val="00A95773"/>
    <w:rsid w:val="00AB20E7"/>
    <w:rsid w:val="00AD3DBB"/>
    <w:rsid w:val="00AE1D8B"/>
    <w:rsid w:val="00AF2447"/>
    <w:rsid w:val="00AF4CD3"/>
    <w:rsid w:val="00B4285A"/>
    <w:rsid w:val="00B52704"/>
    <w:rsid w:val="00B95E76"/>
    <w:rsid w:val="00BB44E0"/>
    <w:rsid w:val="00BD18F7"/>
    <w:rsid w:val="00C16AE0"/>
    <w:rsid w:val="00C21149"/>
    <w:rsid w:val="00C52D8C"/>
    <w:rsid w:val="00C548D3"/>
    <w:rsid w:val="00C66601"/>
    <w:rsid w:val="00C7323E"/>
    <w:rsid w:val="00C7585F"/>
    <w:rsid w:val="00C83C60"/>
    <w:rsid w:val="00CA2C08"/>
    <w:rsid w:val="00CE5923"/>
    <w:rsid w:val="00D04EB5"/>
    <w:rsid w:val="00D2189F"/>
    <w:rsid w:val="00D63B97"/>
    <w:rsid w:val="00D7066C"/>
    <w:rsid w:val="00D83392"/>
    <w:rsid w:val="00D85C6B"/>
    <w:rsid w:val="00DA7D31"/>
    <w:rsid w:val="00DC2E8B"/>
    <w:rsid w:val="00E33B0B"/>
    <w:rsid w:val="00E527EB"/>
    <w:rsid w:val="00E71FDD"/>
    <w:rsid w:val="00E758EA"/>
    <w:rsid w:val="00EC291A"/>
    <w:rsid w:val="00EC4516"/>
    <w:rsid w:val="00ED3022"/>
    <w:rsid w:val="00EF15E9"/>
    <w:rsid w:val="00F01CC9"/>
    <w:rsid w:val="00F12AC1"/>
    <w:rsid w:val="00F13D6B"/>
    <w:rsid w:val="00F51F7A"/>
    <w:rsid w:val="00F67598"/>
    <w:rsid w:val="00F93B21"/>
    <w:rsid w:val="00FB5168"/>
    <w:rsid w:val="00FC4C4A"/>
    <w:rsid w:val="00FD1324"/>
    <w:rsid w:val="00FE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1170"/>
  <w15:chartTrackingRefBased/>
  <w15:docId w15:val="{6C896D9C-605D-4F58-B20E-8B474C2F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614"/>
    <w:rPr>
      <w:rFonts w:eastAsiaTheme="majorEastAsia" w:cstheme="majorBidi"/>
      <w:color w:val="272727" w:themeColor="text1" w:themeTint="D8"/>
    </w:rPr>
  </w:style>
  <w:style w:type="paragraph" w:styleId="Title">
    <w:name w:val="Title"/>
    <w:basedOn w:val="Normal"/>
    <w:next w:val="Normal"/>
    <w:link w:val="TitleChar"/>
    <w:uiPriority w:val="10"/>
    <w:qFormat/>
    <w:rsid w:val="00406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614"/>
    <w:pPr>
      <w:spacing w:before="160"/>
      <w:jc w:val="center"/>
    </w:pPr>
    <w:rPr>
      <w:i/>
      <w:iCs/>
      <w:color w:val="404040" w:themeColor="text1" w:themeTint="BF"/>
    </w:rPr>
  </w:style>
  <w:style w:type="character" w:customStyle="1" w:styleId="QuoteChar">
    <w:name w:val="Quote Char"/>
    <w:basedOn w:val="DefaultParagraphFont"/>
    <w:link w:val="Quote"/>
    <w:uiPriority w:val="29"/>
    <w:rsid w:val="00406614"/>
    <w:rPr>
      <w:i/>
      <w:iCs/>
      <w:color w:val="404040" w:themeColor="text1" w:themeTint="BF"/>
    </w:rPr>
  </w:style>
  <w:style w:type="paragraph" w:styleId="ListParagraph">
    <w:name w:val="List Paragraph"/>
    <w:basedOn w:val="Normal"/>
    <w:uiPriority w:val="34"/>
    <w:qFormat/>
    <w:rsid w:val="00406614"/>
    <w:pPr>
      <w:ind w:left="720"/>
      <w:contextualSpacing/>
    </w:pPr>
  </w:style>
  <w:style w:type="character" w:styleId="IntenseEmphasis">
    <w:name w:val="Intense Emphasis"/>
    <w:basedOn w:val="DefaultParagraphFont"/>
    <w:uiPriority w:val="21"/>
    <w:qFormat/>
    <w:rsid w:val="00406614"/>
    <w:rPr>
      <w:i/>
      <w:iCs/>
      <w:color w:val="0F4761" w:themeColor="accent1" w:themeShade="BF"/>
    </w:rPr>
  </w:style>
  <w:style w:type="paragraph" w:styleId="IntenseQuote">
    <w:name w:val="Intense Quote"/>
    <w:basedOn w:val="Normal"/>
    <w:next w:val="Normal"/>
    <w:link w:val="IntenseQuoteChar"/>
    <w:uiPriority w:val="30"/>
    <w:qFormat/>
    <w:rsid w:val="00406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614"/>
    <w:rPr>
      <w:i/>
      <w:iCs/>
      <w:color w:val="0F4761" w:themeColor="accent1" w:themeShade="BF"/>
    </w:rPr>
  </w:style>
  <w:style w:type="character" w:styleId="IntenseReference">
    <w:name w:val="Intense Reference"/>
    <w:basedOn w:val="DefaultParagraphFont"/>
    <w:uiPriority w:val="32"/>
    <w:qFormat/>
    <w:rsid w:val="00406614"/>
    <w:rPr>
      <w:b/>
      <w:bCs/>
      <w:smallCaps/>
      <w:color w:val="0F4761" w:themeColor="accent1" w:themeShade="BF"/>
      <w:spacing w:val="5"/>
    </w:rPr>
  </w:style>
  <w:style w:type="character" w:styleId="Hyperlink">
    <w:name w:val="Hyperlink"/>
    <w:basedOn w:val="DefaultParagraphFont"/>
    <w:uiPriority w:val="99"/>
    <w:unhideWhenUsed/>
    <w:rsid w:val="00DC2E8B"/>
    <w:rPr>
      <w:color w:val="467886" w:themeColor="hyperlink"/>
      <w:u w:val="single"/>
    </w:rPr>
  </w:style>
  <w:style w:type="character" w:styleId="UnresolvedMention">
    <w:name w:val="Unresolved Mention"/>
    <w:basedOn w:val="DefaultParagraphFont"/>
    <w:uiPriority w:val="99"/>
    <w:semiHidden/>
    <w:unhideWhenUsed/>
    <w:rsid w:val="00DC2E8B"/>
    <w:rPr>
      <w:color w:val="605E5C"/>
      <w:shd w:val="clear" w:color="auto" w:fill="E1DFDD"/>
    </w:rPr>
  </w:style>
  <w:style w:type="paragraph" w:styleId="Revision">
    <w:name w:val="Revision"/>
    <w:hidden/>
    <w:uiPriority w:val="99"/>
    <w:semiHidden/>
    <w:rsid w:val="002D5C95"/>
    <w:pPr>
      <w:spacing w:after="0" w:line="240" w:lineRule="auto"/>
    </w:pPr>
  </w:style>
  <w:style w:type="character" w:styleId="CommentReference">
    <w:name w:val="annotation reference"/>
    <w:basedOn w:val="DefaultParagraphFont"/>
    <w:uiPriority w:val="99"/>
    <w:semiHidden/>
    <w:unhideWhenUsed/>
    <w:rsid w:val="00460D1C"/>
    <w:rPr>
      <w:sz w:val="16"/>
      <w:szCs w:val="16"/>
    </w:rPr>
  </w:style>
  <w:style w:type="paragraph" w:styleId="CommentText">
    <w:name w:val="annotation text"/>
    <w:basedOn w:val="Normal"/>
    <w:link w:val="CommentTextChar"/>
    <w:uiPriority w:val="99"/>
    <w:unhideWhenUsed/>
    <w:rsid w:val="00460D1C"/>
    <w:pPr>
      <w:spacing w:line="240" w:lineRule="auto"/>
    </w:pPr>
    <w:rPr>
      <w:sz w:val="20"/>
      <w:szCs w:val="20"/>
    </w:rPr>
  </w:style>
  <w:style w:type="character" w:customStyle="1" w:styleId="CommentTextChar">
    <w:name w:val="Comment Text Char"/>
    <w:basedOn w:val="DefaultParagraphFont"/>
    <w:link w:val="CommentText"/>
    <w:uiPriority w:val="99"/>
    <w:rsid w:val="00460D1C"/>
    <w:rPr>
      <w:sz w:val="20"/>
      <w:szCs w:val="20"/>
    </w:rPr>
  </w:style>
  <w:style w:type="paragraph" w:styleId="CommentSubject">
    <w:name w:val="annotation subject"/>
    <w:basedOn w:val="CommentText"/>
    <w:next w:val="CommentText"/>
    <w:link w:val="CommentSubjectChar"/>
    <w:uiPriority w:val="99"/>
    <w:semiHidden/>
    <w:unhideWhenUsed/>
    <w:rsid w:val="00460D1C"/>
    <w:rPr>
      <w:b/>
      <w:bCs/>
    </w:rPr>
  </w:style>
  <w:style w:type="character" w:customStyle="1" w:styleId="CommentSubjectChar">
    <w:name w:val="Comment Subject Char"/>
    <w:basedOn w:val="CommentTextChar"/>
    <w:link w:val="CommentSubject"/>
    <w:uiPriority w:val="99"/>
    <w:semiHidden/>
    <w:rsid w:val="00460D1C"/>
    <w:rPr>
      <w:b/>
      <w:bCs/>
      <w:sz w:val="20"/>
      <w:szCs w:val="20"/>
    </w:rPr>
  </w:style>
  <w:style w:type="character" w:styleId="FollowedHyperlink">
    <w:name w:val="FollowedHyperlink"/>
    <w:basedOn w:val="DefaultParagraphFont"/>
    <w:uiPriority w:val="99"/>
    <w:semiHidden/>
    <w:unhideWhenUsed/>
    <w:rsid w:val="001C53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790909">
      <w:bodyDiv w:val="1"/>
      <w:marLeft w:val="0"/>
      <w:marRight w:val="0"/>
      <w:marTop w:val="0"/>
      <w:marBottom w:val="0"/>
      <w:divBdr>
        <w:top w:val="none" w:sz="0" w:space="0" w:color="auto"/>
        <w:left w:val="none" w:sz="0" w:space="0" w:color="auto"/>
        <w:bottom w:val="none" w:sz="0" w:space="0" w:color="auto"/>
        <w:right w:val="none" w:sz="0" w:space="0" w:color="auto"/>
      </w:divBdr>
    </w:div>
    <w:div w:id="602685111">
      <w:bodyDiv w:val="1"/>
      <w:marLeft w:val="0"/>
      <w:marRight w:val="0"/>
      <w:marTop w:val="0"/>
      <w:marBottom w:val="0"/>
      <w:divBdr>
        <w:top w:val="none" w:sz="0" w:space="0" w:color="auto"/>
        <w:left w:val="none" w:sz="0" w:space="0" w:color="auto"/>
        <w:bottom w:val="none" w:sz="0" w:space="0" w:color="auto"/>
        <w:right w:val="none" w:sz="0" w:space="0" w:color="auto"/>
      </w:divBdr>
      <w:divsChild>
        <w:div w:id="2050373643">
          <w:marLeft w:val="0"/>
          <w:marRight w:val="0"/>
          <w:marTop w:val="0"/>
          <w:marBottom w:val="0"/>
          <w:divBdr>
            <w:top w:val="none" w:sz="0" w:space="0" w:color="auto"/>
            <w:left w:val="none" w:sz="0" w:space="0" w:color="auto"/>
            <w:bottom w:val="none" w:sz="0" w:space="0" w:color="auto"/>
            <w:right w:val="none" w:sz="0" w:space="0" w:color="auto"/>
          </w:divBdr>
        </w:div>
        <w:div w:id="428434665">
          <w:marLeft w:val="0"/>
          <w:marRight w:val="0"/>
          <w:marTop w:val="0"/>
          <w:marBottom w:val="0"/>
          <w:divBdr>
            <w:top w:val="none" w:sz="0" w:space="0" w:color="auto"/>
            <w:left w:val="none" w:sz="0" w:space="0" w:color="auto"/>
            <w:bottom w:val="none" w:sz="0" w:space="0" w:color="auto"/>
            <w:right w:val="none" w:sz="0" w:space="0" w:color="auto"/>
          </w:divBdr>
        </w:div>
        <w:div w:id="1398479167">
          <w:marLeft w:val="0"/>
          <w:marRight w:val="0"/>
          <w:marTop w:val="0"/>
          <w:marBottom w:val="0"/>
          <w:divBdr>
            <w:top w:val="none" w:sz="0" w:space="0" w:color="auto"/>
            <w:left w:val="none" w:sz="0" w:space="0" w:color="auto"/>
            <w:bottom w:val="none" w:sz="0" w:space="0" w:color="auto"/>
            <w:right w:val="none" w:sz="0" w:space="0" w:color="auto"/>
          </w:divBdr>
        </w:div>
        <w:div w:id="107044528">
          <w:marLeft w:val="0"/>
          <w:marRight w:val="0"/>
          <w:marTop w:val="0"/>
          <w:marBottom w:val="0"/>
          <w:divBdr>
            <w:top w:val="none" w:sz="0" w:space="0" w:color="auto"/>
            <w:left w:val="none" w:sz="0" w:space="0" w:color="auto"/>
            <w:bottom w:val="none" w:sz="0" w:space="0" w:color="auto"/>
            <w:right w:val="none" w:sz="0" w:space="0" w:color="auto"/>
          </w:divBdr>
        </w:div>
        <w:div w:id="937719428">
          <w:marLeft w:val="0"/>
          <w:marRight w:val="0"/>
          <w:marTop w:val="0"/>
          <w:marBottom w:val="0"/>
          <w:divBdr>
            <w:top w:val="none" w:sz="0" w:space="0" w:color="auto"/>
            <w:left w:val="none" w:sz="0" w:space="0" w:color="auto"/>
            <w:bottom w:val="none" w:sz="0" w:space="0" w:color="auto"/>
            <w:right w:val="none" w:sz="0" w:space="0" w:color="auto"/>
          </w:divBdr>
        </w:div>
        <w:div w:id="1051420073">
          <w:marLeft w:val="0"/>
          <w:marRight w:val="0"/>
          <w:marTop w:val="0"/>
          <w:marBottom w:val="0"/>
          <w:divBdr>
            <w:top w:val="none" w:sz="0" w:space="0" w:color="auto"/>
            <w:left w:val="none" w:sz="0" w:space="0" w:color="auto"/>
            <w:bottom w:val="none" w:sz="0" w:space="0" w:color="auto"/>
            <w:right w:val="none" w:sz="0" w:space="0" w:color="auto"/>
          </w:divBdr>
        </w:div>
      </w:divsChild>
    </w:div>
    <w:div w:id="1193349036">
      <w:bodyDiv w:val="1"/>
      <w:marLeft w:val="0"/>
      <w:marRight w:val="0"/>
      <w:marTop w:val="0"/>
      <w:marBottom w:val="0"/>
      <w:divBdr>
        <w:top w:val="none" w:sz="0" w:space="0" w:color="auto"/>
        <w:left w:val="none" w:sz="0" w:space="0" w:color="auto"/>
        <w:bottom w:val="none" w:sz="0" w:space="0" w:color="auto"/>
        <w:right w:val="none" w:sz="0" w:space="0" w:color="auto"/>
      </w:divBdr>
    </w:div>
    <w:div w:id="1332177618">
      <w:bodyDiv w:val="1"/>
      <w:marLeft w:val="0"/>
      <w:marRight w:val="0"/>
      <w:marTop w:val="0"/>
      <w:marBottom w:val="0"/>
      <w:divBdr>
        <w:top w:val="none" w:sz="0" w:space="0" w:color="auto"/>
        <w:left w:val="none" w:sz="0" w:space="0" w:color="auto"/>
        <w:bottom w:val="none" w:sz="0" w:space="0" w:color="auto"/>
        <w:right w:val="none" w:sz="0" w:space="0" w:color="auto"/>
      </w:divBdr>
      <w:divsChild>
        <w:div w:id="103891745">
          <w:marLeft w:val="0"/>
          <w:marRight w:val="0"/>
          <w:marTop w:val="0"/>
          <w:marBottom w:val="0"/>
          <w:divBdr>
            <w:top w:val="none" w:sz="0" w:space="0" w:color="auto"/>
            <w:left w:val="none" w:sz="0" w:space="0" w:color="auto"/>
            <w:bottom w:val="none" w:sz="0" w:space="0" w:color="auto"/>
            <w:right w:val="none" w:sz="0" w:space="0" w:color="auto"/>
          </w:divBdr>
        </w:div>
        <w:div w:id="320742806">
          <w:marLeft w:val="0"/>
          <w:marRight w:val="0"/>
          <w:marTop w:val="0"/>
          <w:marBottom w:val="0"/>
          <w:divBdr>
            <w:top w:val="none" w:sz="0" w:space="0" w:color="auto"/>
            <w:left w:val="none" w:sz="0" w:space="0" w:color="auto"/>
            <w:bottom w:val="none" w:sz="0" w:space="0" w:color="auto"/>
            <w:right w:val="none" w:sz="0" w:space="0" w:color="auto"/>
          </w:divBdr>
        </w:div>
        <w:div w:id="666832344">
          <w:marLeft w:val="0"/>
          <w:marRight w:val="0"/>
          <w:marTop w:val="0"/>
          <w:marBottom w:val="0"/>
          <w:divBdr>
            <w:top w:val="none" w:sz="0" w:space="0" w:color="auto"/>
            <w:left w:val="none" w:sz="0" w:space="0" w:color="auto"/>
            <w:bottom w:val="none" w:sz="0" w:space="0" w:color="auto"/>
            <w:right w:val="none" w:sz="0" w:space="0" w:color="auto"/>
          </w:divBdr>
        </w:div>
        <w:div w:id="1620603781">
          <w:marLeft w:val="0"/>
          <w:marRight w:val="0"/>
          <w:marTop w:val="0"/>
          <w:marBottom w:val="0"/>
          <w:divBdr>
            <w:top w:val="none" w:sz="0" w:space="0" w:color="auto"/>
            <w:left w:val="none" w:sz="0" w:space="0" w:color="auto"/>
            <w:bottom w:val="none" w:sz="0" w:space="0" w:color="auto"/>
            <w:right w:val="none" w:sz="0" w:space="0" w:color="auto"/>
          </w:divBdr>
        </w:div>
      </w:divsChild>
    </w:div>
    <w:div w:id="1567258831">
      <w:bodyDiv w:val="1"/>
      <w:marLeft w:val="0"/>
      <w:marRight w:val="0"/>
      <w:marTop w:val="0"/>
      <w:marBottom w:val="0"/>
      <w:divBdr>
        <w:top w:val="none" w:sz="0" w:space="0" w:color="auto"/>
        <w:left w:val="none" w:sz="0" w:space="0" w:color="auto"/>
        <w:bottom w:val="none" w:sz="0" w:space="0" w:color="auto"/>
        <w:right w:val="none" w:sz="0" w:space="0" w:color="auto"/>
      </w:divBdr>
      <w:divsChild>
        <w:div w:id="253899729">
          <w:marLeft w:val="0"/>
          <w:marRight w:val="0"/>
          <w:marTop w:val="0"/>
          <w:marBottom w:val="0"/>
          <w:divBdr>
            <w:top w:val="none" w:sz="0" w:space="0" w:color="auto"/>
            <w:left w:val="none" w:sz="0" w:space="0" w:color="auto"/>
            <w:bottom w:val="none" w:sz="0" w:space="0" w:color="auto"/>
            <w:right w:val="none" w:sz="0" w:space="0" w:color="auto"/>
          </w:divBdr>
        </w:div>
        <w:div w:id="514808186">
          <w:marLeft w:val="0"/>
          <w:marRight w:val="0"/>
          <w:marTop w:val="0"/>
          <w:marBottom w:val="0"/>
          <w:divBdr>
            <w:top w:val="none" w:sz="0" w:space="0" w:color="auto"/>
            <w:left w:val="none" w:sz="0" w:space="0" w:color="auto"/>
            <w:bottom w:val="none" w:sz="0" w:space="0" w:color="auto"/>
            <w:right w:val="none" w:sz="0" w:space="0" w:color="auto"/>
          </w:divBdr>
        </w:div>
        <w:div w:id="703553463">
          <w:marLeft w:val="0"/>
          <w:marRight w:val="0"/>
          <w:marTop w:val="0"/>
          <w:marBottom w:val="0"/>
          <w:divBdr>
            <w:top w:val="none" w:sz="0" w:space="0" w:color="auto"/>
            <w:left w:val="none" w:sz="0" w:space="0" w:color="auto"/>
            <w:bottom w:val="none" w:sz="0" w:space="0" w:color="auto"/>
            <w:right w:val="none" w:sz="0" w:space="0" w:color="auto"/>
          </w:divBdr>
        </w:div>
        <w:div w:id="900361168">
          <w:marLeft w:val="0"/>
          <w:marRight w:val="0"/>
          <w:marTop w:val="0"/>
          <w:marBottom w:val="0"/>
          <w:divBdr>
            <w:top w:val="none" w:sz="0" w:space="0" w:color="auto"/>
            <w:left w:val="none" w:sz="0" w:space="0" w:color="auto"/>
            <w:bottom w:val="none" w:sz="0" w:space="0" w:color="auto"/>
            <w:right w:val="none" w:sz="0" w:space="0" w:color="auto"/>
          </w:divBdr>
        </w:div>
      </w:divsChild>
    </w:div>
    <w:div w:id="1606579052">
      <w:bodyDiv w:val="1"/>
      <w:marLeft w:val="0"/>
      <w:marRight w:val="0"/>
      <w:marTop w:val="0"/>
      <w:marBottom w:val="0"/>
      <w:divBdr>
        <w:top w:val="none" w:sz="0" w:space="0" w:color="auto"/>
        <w:left w:val="none" w:sz="0" w:space="0" w:color="auto"/>
        <w:bottom w:val="none" w:sz="0" w:space="0" w:color="auto"/>
        <w:right w:val="none" w:sz="0" w:space="0" w:color="auto"/>
      </w:divBdr>
      <w:divsChild>
        <w:div w:id="487981138">
          <w:marLeft w:val="0"/>
          <w:marRight w:val="0"/>
          <w:marTop w:val="0"/>
          <w:marBottom w:val="0"/>
          <w:divBdr>
            <w:top w:val="none" w:sz="0" w:space="0" w:color="auto"/>
            <w:left w:val="none" w:sz="0" w:space="0" w:color="auto"/>
            <w:bottom w:val="none" w:sz="0" w:space="0" w:color="auto"/>
            <w:right w:val="none" w:sz="0" w:space="0" w:color="auto"/>
          </w:divBdr>
        </w:div>
      </w:divsChild>
    </w:div>
    <w:div w:id="1696543499">
      <w:bodyDiv w:val="1"/>
      <w:marLeft w:val="0"/>
      <w:marRight w:val="0"/>
      <w:marTop w:val="0"/>
      <w:marBottom w:val="0"/>
      <w:divBdr>
        <w:top w:val="none" w:sz="0" w:space="0" w:color="auto"/>
        <w:left w:val="none" w:sz="0" w:space="0" w:color="auto"/>
        <w:bottom w:val="none" w:sz="0" w:space="0" w:color="auto"/>
        <w:right w:val="none" w:sz="0" w:space="0" w:color="auto"/>
      </w:divBdr>
      <w:divsChild>
        <w:div w:id="694162129">
          <w:marLeft w:val="0"/>
          <w:marRight w:val="0"/>
          <w:marTop w:val="0"/>
          <w:marBottom w:val="0"/>
          <w:divBdr>
            <w:top w:val="none" w:sz="0" w:space="0" w:color="auto"/>
            <w:left w:val="none" w:sz="0" w:space="0" w:color="auto"/>
            <w:bottom w:val="none" w:sz="0" w:space="0" w:color="auto"/>
            <w:right w:val="none" w:sz="0" w:space="0" w:color="auto"/>
          </w:divBdr>
        </w:div>
      </w:divsChild>
    </w:div>
    <w:div w:id="1790854823">
      <w:bodyDiv w:val="1"/>
      <w:marLeft w:val="0"/>
      <w:marRight w:val="0"/>
      <w:marTop w:val="0"/>
      <w:marBottom w:val="0"/>
      <w:divBdr>
        <w:top w:val="none" w:sz="0" w:space="0" w:color="auto"/>
        <w:left w:val="none" w:sz="0" w:space="0" w:color="auto"/>
        <w:bottom w:val="none" w:sz="0" w:space="0" w:color="auto"/>
        <w:right w:val="none" w:sz="0" w:space="0" w:color="auto"/>
      </w:divBdr>
      <w:divsChild>
        <w:div w:id="1403287434">
          <w:marLeft w:val="0"/>
          <w:marRight w:val="0"/>
          <w:marTop w:val="0"/>
          <w:marBottom w:val="0"/>
          <w:divBdr>
            <w:top w:val="none" w:sz="0" w:space="0" w:color="auto"/>
            <w:left w:val="none" w:sz="0" w:space="0" w:color="auto"/>
            <w:bottom w:val="none" w:sz="0" w:space="0" w:color="auto"/>
            <w:right w:val="none" w:sz="0" w:space="0" w:color="auto"/>
          </w:divBdr>
        </w:div>
        <w:div w:id="595943552">
          <w:marLeft w:val="0"/>
          <w:marRight w:val="0"/>
          <w:marTop w:val="0"/>
          <w:marBottom w:val="0"/>
          <w:divBdr>
            <w:top w:val="none" w:sz="0" w:space="0" w:color="auto"/>
            <w:left w:val="none" w:sz="0" w:space="0" w:color="auto"/>
            <w:bottom w:val="none" w:sz="0" w:space="0" w:color="auto"/>
            <w:right w:val="none" w:sz="0" w:space="0" w:color="auto"/>
          </w:divBdr>
        </w:div>
        <w:div w:id="605960760">
          <w:marLeft w:val="0"/>
          <w:marRight w:val="0"/>
          <w:marTop w:val="0"/>
          <w:marBottom w:val="0"/>
          <w:divBdr>
            <w:top w:val="none" w:sz="0" w:space="0" w:color="auto"/>
            <w:left w:val="none" w:sz="0" w:space="0" w:color="auto"/>
            <w:bottom w:val="none" w:sz="0" w:space="0" w:color="auto"/>
            <w:right w:val="none" w:sz="0" w:space="0" w:color="auto"/>
          </w:divBdr>
        </w:div>
        <w:div w:id="321006343">
          <w:marLeft w:val="0"/>
          <w:marRight w:val="0"/>
          <w:marTop w:val="0"/>
          <w:marBottom w:val="0"/>
          <w:divBdr>
            <w:top w:val="none" w:sz="0" w:space="0" w:color="auto"/>
            <w:left w:val="none" w:sz="0" w:space="0" w:color="auto"/>
            <w:bottom w:val="none" w:sz="0" w:space="0" w:color="auto"/>
            <w:right w:val="none" w:sz="0" w:space="0" w:color="auto"/>
          </w:divBdr>
        </w:div>
        <w:div w:id="973221195">
          <w:marLeft w:val="0"/>
          <w:marRight w:val="0"/>
          <w:marTop w:val="0"/>
          <w:marBottom w:val="0"/>
          <w:divBdr>
            <w:top w:val="none" w:sz="0" w:space="0" w:color="auto"/>
            <w:left w:val="none" w:sz="0" w:space="0" w:color="auto"/>
            <w:bottom w:val="none" w:sz="0" w:space="0" w:color="auto"/>
            <w:right w:val="none" w:sz="0" w:space="0" w:color="auto"/>
          </w:divBdr>
        </w:div>
        <w:div w:id="87662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syllabus-elements" TargetMode="Externa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11" Type="http://schemas.openxmlformats.org/officeDocument/2006/relationships/fontTable" Target="fontTable.xml"/><Relationship Id="rId5" Type="http://schemas.openxmlformats.org/officeDocument/2006/relationships/hyperlink" Target="https://ugeducation.osu.edu/recommended-syllabus-statements-and-policies" TargetMode="External"/><Relationship Id="rId10"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hyperlink" Target="https://asccas.osu.edu/submission/development/submission-materials/syllabus-e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Rachel</dc:creator>
  <cp:keywords/>
  <dc:description/>
  <cp:lastModifiedBy>Steele, Rachel</cp:lastModifiedBy>
  <cp:revision>3</cp:revision>
  <cp:lastPrinted>2025-04-29T19:32:00Z</cp:lastPrinted>
  <dcterms:created xsi:type="dcterms:W3CDTF">2025-05-05T19:19:00Z</dcterms:created>
  <dcterms:modified xsi:type="dcterms:W3CDTF">2025-05-05T19:53:00Z</dcterms:modified>
</cp:coreProperties>
</file>